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4A1" w:rsidRDefault="00FE1B65">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R1-2600263</w:t>
      </w:r>
    </w:p>
    <w:p w:rsidR="001554A1" w:rsidRDefault="00FE1B65">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1554A1" w:rsidRDefault="001554A1">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1554A1" w:rsidRDefault="00FE1B6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Synchronization acquisition and beam measurement</w:t>
      </w:r>
    </w:p>
    <w:p w:rsidR="001554A1" w:rsidRDefault="00FE1B6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1554A1" w:rsidRDefault="00FE1B6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10.5.1.1</w:t>
      </w:r>
    </w:p>
    <w:p w:rsidR="001554A1" w:rsidRDefault="00FE1B6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1554A1" w:rsidRDefault="001554A1">
      <w:pPr>
        <w:pBdr>
          <w:bottom w:val="single" w:sz="4" w:space="1" w:color="auto"/>
        </w:pBdr>
        <w:tabs>
          <w:tab w:val="left" w:pos="2552"/>
        </w:tabs>
        <w:snapToGrid w:val="0"/>
        <w:spacing w:before="120" w:after="120"/>
        <w:rPr>
          <w:sz w:val="4"/>
          <w:szCs w:val="4"/>
        </w:rPr>
      </w:pPr>
    </w:p>
    <w:p w:rsidR="001554A1" w:rsidRDefault="00FE1B6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1554A1" w:rsidRDefault="00FE1B65">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I</w:t>
      </w:r>
      <w:r>
        <w:rPr>
          <w:rFonts w:hint="eastAsia"/>
          <w:sz w:val="20"/>
        </w:rPr>
        <w:t xml:space="preserve">n this contribution, </w:t>
      </w:r>
      <w:r>
        <w:rPr>
          <w:sz w:val="20"/>
        </w:rPr>
        <w:t xml:space="preserve">to enable a proper design for synchronization signal and channel design along with other functions, detailed views are </w:t>
      </w:r>
      <w:r>
        <w:rPr>
          <w:rFonts w:hint="eastAsia"/>
          <w:sz w:val="20"/>
        </w:rPr>
        <w:t>elaborated</w:t>
      </w:r>
      <w:r>
        <w:rPr>
          <w:sz w:val="20"/>
        </w:rPr>
        <w:t xml:space="preserve"> on following aspects.</w:t>
      </w:r>
    </w:p>
    <w:tbl>
      <w:tblPr>
        <w:tblStyle w:val="af3"/>
        <w:tblW w:w="0" w:type="auto"/>
        <w:tblInd w:w="121" w:type="dxa"/>
        <w:tblLook w:val="04A0" w:firstRow="1" w:lastRow="0" w:firstColumn="1" w:lastColumn="0" w:noHBand="0" w:noVBand="1"/>
      </w:tblPr>
      <w:tblGrid>
        <w:gridCol w:w="9529"/>
      </w:tblGrid>
      <w:tr w:rsidR="001554A1">
        <w:tc>
          <w:tcPr>
            <w:tcW w:w="9660" w:type="dxa"/>
          </w:tcPr>
          <w:p w:rsidR="001554A1" w:rsidRDefault="00FE1B65">
            <w:pPr>
              <w:spacing w:before="120" w:after="120"/>
              <w:rPr>
                <w:rFonts w:eastAsia="等线"/>
                <w:i/>
                <w:iCs/>
              </w:rPr>
            </w:pPr>
            <w:r>
              <w:rPr>
                <w:rFonts w:eastAsia="等线"/>
                <w:i/>
                <w:iCs/>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rsidR="001554A1" w:rsidRDefault="00FE1B6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 synchronization signal/channel design</w:t>
      </w:r>
    </w:p>
    <w:p w:rsidR="001554A1" w:rsidRDefault="00FE1B6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Review on synchronization signal/channel</w:t>
      </w:r>
      <w:r>
        <w:rPr>
          <w:rFonts w:ascii="Times New Roman" w:eastAsia="宋体" w:hAnsi="Times New Roman" w:hint="eastAsia"/>
          <w:b/>
          <w:sz w:val="24"/>
          <w:szCs w:val="24"/>
        </w:rPr>
        <w:t xml:space="preserve"> in 5G NR</w:t>
      </w:r>
    </w:p>
    <w:p w:rsidR="001554A1" w:rsidRDefault="00FE1B65">
      <w:pPr>
        <w:spacing w:before="120" w:after="120"/>
        <w:rPr>
          <w:bCs/>
          <w:sz w:val="20"/>
        </w:rPr>
      </w:pPr>
      <w:r>
        <w:rPr>
          <w:bCs/>
          <w:sz w:val="20"/>
        </w:rPr>
        <w:t>In 5G NR, a</w:t>
      </w:r>
      <w:r>
        <w:rPr>
          <w:rFonts w:hint="eastAsia"/>
          <w:bCs/>
          <w:sz w:val="20"/>
        </w:rPr>
        <w:t xml:space="preserve">s shown in Figure </w:t>
      </w:r>
      <w:r w:rsidR="00224F89">
        <w:rPr>
          <w:bCs/>
          <w:sz w:val="20"/>
        </w:rPr>
        <w:t>2.1-1</w:t>
      </w:r>
      <w:r>
        <w:rPr>
          <w:rFonts w:hint="eastAsia"/>
          <w:bCs/>
          <w:sz w:val="20"/>
        </w:rPr>
        <w:t xml:space="preserve">, </w:t>
      </w:r>
      <w:r>
        <w:rPr>
          <w:bCs/>
          <w:sz w:val="20"/>
        </w:rPr>
        <w:t xml:space="preserve">SSB is </w:t>
      </w:r>
      <w:r>
        <w:rPr>
          <w:rFonts w:hint="eastAsia"/>
          <w:bCs/>
          <w:sz w:val="20"/>
        </w:rPr>
        <w:t>primarily</w:t>
      </w:r>
      <w:r>
        <w:rPr>
          <w:bCs/>
          <w:sz w:val="20"/>
        </w:rPr>
        <w:t xml:space="preserve"> introduced as “ always-on” signal </w:t>
      </w:r>
      <w:r>
        <w:rPr>
          <w:rFonts w:hint="eastAsia"/>
          <w:bCs/>
          <w:sz w:val="20"/>
        </w:rPr>
        <w:t xml:space="preserve">for synchronization signal/channel transmissions </w:t>
      </w:r>
      <w:r>
        <w:rPr>
          <w:bCs/>
          <w:sz w:val="20"/>
        </w:rPr>
        <w:t xml:space="preserve">to enable DL synchronization (e.g., time and frequency), </w:t>
      </w:r>
      <w:r>
        <w:rPr>
          <w:rFonts w:hint="eastAsia"/>
          <w:bCs/>
          <w:sz w:val="20"/>
        </w:rPr>
        <w:t>c</w:t>
      </w:r>
      <w:r>
        <w:rPr>
          <w:bCs/>
          <w:sz w:val="20"/>
        </w:rPr>
        <w:t xml:space="preserve">ell search (i.e., via PSS/SSS), MIB (i.e., via PBCH) </w:t>
      </w:r>
      <w:r>
        <w:rPr>
          <w:rFonts w:hint="eastAsia"/>
          <w:bCs/>
          <w:sz w:val="20"/>
        </w:rPr>
        <w:t>acquisition</w:t>
      </w:r>
      <w:r>
        <w:rPr>
          <w:bCs/>
          <w:sz w:val="20"/>
        </w:rPr>
        <w:t xml:space="preserve"> along with the determination of frequency resource allocation</w:t>
      </w:r>
      <w:r>
        <w:rPr>
          <w:rFonts w:hint="eastAsia"/>
          <w:bCs/>
          <w:sz w:val="20"/>
        </w:rPr>
        <w:t>,</w:t>
      </w:r>
      <w:r>
        <w:rPr>
          <w:bCs/>
          <w:sz w:val="20"/>
        </w:rPr>
        <w:t xml:space="preserve"> which is </w:t>
      </w:r>
      <w:r>
        <w:rPr>
          <w:rFonts w:hint="eastAsia"/>
          <w:bCs/>
          <w:sz w:val="20"/>
        </w:rPr>
        <w:t>essential</w:t>
      </w:r>
      <w:r>
        <w:rPr>
          <w:bCs/>
          <w:sz w:val="20"/>
        </w:rPr>
        <w:t xml:space="preserve"> for UEs to access the network</w:t>
      </w:r>
      <w:r>
        <w:rPr>
          <w:rFonts w:hint="eastAsia"/>
          <w:bCs/>
          <w:sz w:val="20"/>
        </w:rPr>
        <w:t>.</w:t>
      </w:r>
      <w:r>
        <w:rPr>
          <w:bCs/>
          <w:sz w:val="20"/>
        </w:rPr>
        <w:t xml:space="preserve"> </w:t>
      </w:r>
    </w:p>
    <w:p w:rsidR="001554A1" w:rsidRDefault="00FE1B65">
      <w:pPr>
        <w:spacing w:before="120" w:after="120"/>
        <w:jc w:val="center"/>
      </w:pPr>
      <w:r>
        <w:rPr>
          <w:noProof/>
        </w:rPr>
        <w:drawing>
          <wp:inline distT="0" distB="0" distL="114300" distR="114300">
            <wp:extent cx="2689860" cy="16040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705207" cy="1613392"/>
                    </a:xfrm>
                    <a:prstGeom prst="rect">
                      <a:avLst/>
                    </a:prstGeom>
                    <a:noFill/>
                    <a:ln>
                      <a:noFill/>
                    </a:ln>
                  </pic:spPr>
                </pic:pic>
              </a:graphicData>
            </a:graphic>
          </wp:inline>
        </w:drawing>
      </w:r>
    </w:p>
    <w:p w:rsidR="001554A1" w:rsidRDefault="00FE1B65">
      <w:pPr>
        <w:spacing w:before="120" w:after="120"/>
        <w:jc w:val="center"/>
        <w:rPr>
          <w:sz w:val="20"/>
        </w:rPr>
      </w:pPr>
      <w:r>
        <w:rPr>
          <w:sz w:val="20"/>
        </w:rPr>
        <w:t xml:space="preserve">Figure </w:t>
      </w:r>
      <w:r w:rsidR="00224F89">
        <w:rPr>
          <w:sz w:val="20"/>
        </w:rPr>
        <w:t>2.1-</w:t>
      </w:r>
      <w:r>
        <w:rPr>
          <w:sz w:val="20"/>
        </w:rPr>
        <w:t>1: Structure of SSB in 5G NR</w:t>
      </w:r>
    </w:p>
    <w:p w:rsidR="001554A1" w:rsidRDefault="00FE1B65">
      <w:pPr>
        <w:spacing w:before="120" w:after="120"/>
        <w:rPr>
          <w:bCs/>
          <w:sz w:val="20"/>
        </w:rPr>
      </w:pPr>
      <w:r>
        <w:rPr>
          <w:bCs/>
          <w:sz w:val="20"/>
        </w:rPr>
        <w:t>Meanwhile, as one “</w:t>
      </w:r>
      <w:r>
        <w:rPr>
          <w:rFonts w:hint="eastAsia"/>
          <w:bCs/>
          <w:sz w:val="20"/>
        </w:rPr>
        <w:t>benchmark</w:t>
      </w:r>
      <w:r>
        <w:rPr>
          <w:bCs/>
          <w:sz w:val="20"/>
        </w:rPr>
        <w:t xml:space="preserve"> </w:t>
      </w:r>
      <w:r>
        <w:rPr>
          <w:rFonts w:hint="eastAsia"/>
          <w:bCs/>
          <w:sz w:val="20"/>
        </w:rPr>
        <w:t>reference</w:t>
      </w:r>
      <w:r>
        <w:rPr>
          <w:bCs/>
          <w:sz w:val="20"/>
        </w:rPr>
        <w:t xml:space="preserve"> </w:t>
      </w:r>
      <w:r>
        <w:rPr>
          <w:rFonts w:hint="eastAsia"/>
          <w:bCs/>
          <w:sz w:val="20"/>
        </w:rPr>
        <w:t>signal</w:t>
      </w:r>
      <w:r>
        <w:rPr>
          <w:bCs/>
          <w:sz w:val="20"/>
        </w:rPr>
        <w:t xml:space="preserve">”, SSB is </w:t>
      </w:r>
      <w:r>
        <w:rPr>
          <w:rFonts w:hint="eastAsia"/>
          <w:bCs/>
          <w:sz w:val="20"/>
        </w:rPr>
        <w:t>additionally</w:t>
      </w:r>
      <w:r>
        <w:rPr>
          <w:bCs/>
          <w:sz w:val="20"/>
        </w:rPr>
        <w:t xml:space="preserve"> used</w:t>
      </w:r>
      <w:r>
        <w:rPr>
          <w:rFonts w:hint="eastAsia"/>
          <w:bCs/>
          <w:sz w:val="20"/>
        </w:rPr>
        <w:t xml:space="preserve"> as </w:t>
      </w:r>
      <w:r>
        <w:rPr>
          <w:bCs/>
          <w:sz w:val="20"/>
        </w:rPr>
        <w:t>“</w:t>
      </w:r>
      <w:r>
        <w:rPr>
          <w:rFonts w:hint="eastAsia"/>
          <w:bCs/>
          <w:sz w:val="20"/>
        </w:rPr>
        <w:t>a reference signal</w:t>
      </w:r>
      <w:r>
        <w:rPr>
          <w:bCs/>
          <w:sz w:val="20"/>
        </w:rPr>
        <w:t xml:space="preserve">” enable other features, e.g., beam management (e.g., measurement, selection and beam </w:t>
      </w:r>
      <w:r>
        <w:rPr>
          <w:rFonts w:hint="eastAsia"/>
          <w:bCs/>
          <w:sz w:val="20"/>
        </w:rPr>
        <w:t>recovery</w:t>
      </w:r>
      <w:r>
        <w:rPr>
          <w:bCs/>
          <w:sz w:val="20"/>
        </w:rPr>
        <w:t>)</w:t>
      </w:r>
      <w:r>
        <w:rPr>
          <w:rFonts w:hint="eastAsia"/>
          <w:bCs/>
          <w:sz w:val="20"/>
        </w:rPr>
        <w:t>,</w:t>
      </w:r>
      <w:r>
        <w:rPr>
          <w:bCs/>
          <w:sz w:val="20"/>
        </w:rPr>
        <w:t xml:space="preserve"> </w:t>
      </w:r>
      <w:r>
        <w:rPr>
          <w:rFonts w:hint="eastAsia"/>
          <w:bCs/>
          <w:sz w:val="20"/>
        </w:rPr>
        <w:t>mobility</w:t>
      </w:r>
      <w:r>
        <w:rPr>
          <w:bCs/>
          <w:sz w:val="20"/>
        </w:rPr>
        <w:t xml:space="preserve"> (e.g., RRM measurement for cell selection/handover and </w:t>
      </w:r>
      <w:r>
        <w:rPr>
          <w:rFonts w:hint="eastAsia"/>
          <w:bCs/>
          <w:sz w:val="20"/>
        </w:rPr>
        <w:t xml:space="preserve">L1 measurement for </w:t>
      </w:r>
      <w:r>
        <w:rPr>
          <w:bCs/>
          <w:sz w:val="20"/>
        </w:rPr>
        <w:t xml:space="preserve">LTM), </w:t>
      </w:r>
      <w:r>
        <w:rPr>
          <w:rFonts w:hint="eastAsia"/>
          <w:bCs/>
          <w:sz w:val="20"/>
        </w:rPr>
        <w:t>link maintenance</w:t>
      </w:r>
      <w:r>
        <w:rPr>
          <w:bCs/>
          <w:sz w:val="20"/>
        </w:rPr>
        <w:t xml:space="preserve">(e.g., </w:t>
      </w:r>
      <w:r>
        <w:rPr>
          <w:rFonts w:hint="eastAsia"/>
          <w:bCs/>
          <w:sz w:val="20"/>
        </w:rPr>
        <w:t>RLM</w:t>
      </w:r>
      <w:r>
        <w:rPr>
          <w:bCs/>
          <w:sz w:val="20"/>
        </w:rPr>
        <w:t xml:space="preserve">) and </w:t>
      </w:r>
      <w:r>
        <w:rPr>
          <w:rFonts w:hint="eastAsia"/>
          <w:bCs/>
          <w:sz w:val="20"/>
        </w:rPr>
        <w:t>CLI measurements</w:t>
      </w:r>
      <w:r>
        <w:rPr>
          <w:bCs/>
          <w:sz w:val="20"/>
        </w:rPr>
        <w:t xml:space="preserve"> (e.g.,</w:t>
      </w:r>
      <w:r>
        <w:rPr>
          <w:rFonts w:hint="eastAsia"/>
          <w:bCs/>
          <w:sz w:val="20"/>
        </w:rPr>
        <w:t xml:space="preserve"> as an interference measurement reference signal</w:t>
      </w:r>
      <w:r>
        <w:rPr>
          <w:bCs/>
          <w:sz w:val="20"/>
        </w:rPr>
        <w:t>)</w:t>
      </w:r>
      <w:r>
        <w:rPr>
          <w:rFonts w:hint="eastAsia"/>
          <w:bCs/>
          <w:sz w:val="20"/>
        </w:rPr>
        <w:t xml:space="preserve"> between gNBs</w:t>
      </w:r>
      <w:r>
        <w:rPr>
          <w:bCs/>
          <w:sz w:val="20"/>
        </w:rPr>
        <w:t xml:space="preserve">, etc. </w:t>
      </w:r>
      <w:r>
        <w:rPr>
          <w:rFonts w:hint="eastAsia"/>
          <w:bCs/>
          <w:sz w:val="20"/>
        </w:rPr>
        <w:t>In addition, it serve</w:t>
      </w:r>
      <w:r>
        <w:rPr>
          <w:bCs/>
          <w:sz w:val="20"/>
        </w:rPr>
        <w:t>s</w:t>
      </w:r>
      <w:r>
        <w:rPr>
          <w:rFonts w:hint="eastAsia"/>
          <w:bCs/>
          <w:sz w:val="20"/>
        </w:rPr>
        <w:t xml:space="preserve"> as </w:t>
      </w:r>
      <w:r>
        <w:rPr>
          <w:bCs/>
          <w:sz w:val="20"/>
        </w:rPr>
        <w:t>the</w:t>
      </w:r>
      <w:r>
        <w:rPr>
          <w:rFonts w:hint="eastAsia"/>
          <w:bCs/>
          <w:sz w:val="20"/>
        </w:rPr>
        <w:t xml:space="preserve"> QCL source</w:t>
      </w:r>
      <w:r>
        <w:rPr>
          <w:bCs/>
          <w:sz w:val="20"/>
        </w:rPr>
        <w:t xml:space="preserve"> (e.g., for QCL Type A/C/D)</w:t>
      </w:r>
      <w:r>
        <w:rPr>
          <w:rFonts w:hint="eastAsia"/>
          <w:bCs/>
          <w:sz w:val="20"/>
        </w:rPr>
        <w:t xml:space="preserve"> for </w:t>
      </w:r>
      <w:r>
        <w:rPr>
          <w:bCs/>
          <w:sz w:val="20"/>
        </w:rPr>
        <w:t xml:space="preserve">other reference signals including </w:t>
      </w:r>
      <w:r>
        <w:rPr>
          <w:rFonts w:hint="eastAsia"/>
          <w:bCs/>
          <w:sz w:val="20"/>
        </w:rPr>
        <w:t>PDCCH/PDSCH DMRS and CSI-RS</w:t>
      </w:r>
      <w:r>
        <w:rPr>
          <w:bCs/>
          <w:sz w:val="20"/>
        </w:rPr>
        <w:t xml:space="preserve"> to assist channel measurement</w:t>
      </w:r>
      <w:r w:rsidR="002C7F20">
        <w:rPr>
          <w:bCs/>
          <w:sz w:val="20"/>
        </w:rPr>
        <w:t xml:space="preserve"> and</w:t>
      </w:r>
      <w:r>
        <w:rPr>
          <w:bCs/>
          <w:sz w:val="20"/>
        </w:rPr>
        <w:t xml:space="preserve"> </w:t>
      </w:r>
      <w:r>
        <w:rPr>
          <w:rFonts w:hint="eastAsia"/>
          <w:bCs/>
          <w:sz w:val="20"/>
        </w:rPr>
        <w:t>equalization.</w:t>
      </w:r>
    </w:p>
    <w:p w:rsidR="001554A1" w:rsidRDefault="00FE1B65">
      <w:pPr>
        <w:spacing w:before="120" w:after="120"/>
        <w:rPr>
          <w:bCs/>
          <w:sz w:val="20"/>
        </w:rPr>
      </w:pPr>
      <w:r>
        <w:rPr>
          <w:bCs/>
          <w:sz w:val="20"/>
        </w:rPr>
        <w:t xml:space="preserve">For 6G, most of features are still expected to be supported, and the </w:t>
      </w:r>
      <w:r>
        <w:rPr>
          <w:bCs/>
          <w:i/>
          <w:iCs/>
          <w:sz w:val="20"/>
        </w:rPr>
        <w:t xml:space="preserve">6G synchronization signal/channel design </w:t>
      </w:r>
      <w:r>
        <w:rPr>
          <w:bCs/>
          <w:sz w:val="20"/>
        </w:rPr>
        <w:t>should take corresponding needs into account.</w:t>
      </w:r>
    </w:p>
    <w:p w:rsidR="001554A1" w:rsidRDefault="00FE1B65">
      <w:pPr>
        <w:snapToGrid w:val="0"/>
        <w:spacing w:before="120" w:after="120"/>
        <w:rPr>
          <w:sz w:val="20"/>
          <w:highlight w:val="yellow"/>
        </w:rPr>
      </w:pPr>
      <w:r>
        <w:rPr>
          <w:b/>
          <w:bCs/>
          <w:i/>
          <w:sz w:val="20"/>
        </w:rPr>
        <w:t>Observation 1:</w:t>
      </w:r>
      <w:r>
        <w:rPr>
          <w:bCs/>
          <w:i/>
          <w:iCs/>
          <w:sz w:val="20"/>
        </w:rPr>
        <w:t xml:space="preserve"> The basic functionalities (e.g., cell </w:t>
      </w:r>
      <w:r>
        <w:rPr>
          <w:rFonts w:hint="eastAsia"/>
          <w:bCs/>
          <w:i/>
          <w:iCs/>
          <w:sz w:val="20"/>
        </w:rPr>
        <w:t>identification</w:t>
      </w:r>
      <w:r>
        <w:rPr>
          <w:bCs/>
          <w:i/>
          <w:iCs/>
          <w:sz w:val="20"/>
        </w:rPr>
        <w:t xml:space="preserve">, initial synchronization, MIB </w:t>
      </w:r>
      <w:r>
        <w:rPr>
          <w:rFonts w:hint="eastAsia"/>
          <w:bCs/>
          <w:i/>
          <w:iCs/>
          <w:sz w:val="20"/>
        </w:rPr>
        <w:t>acquisition,</w:t>
      </w:r>
      <w:r>
        <w:rPr>
          <w:bCs/>
          <w:i/>
          <w:iCs/>
          <w:sz w:val="20"/>
        </w:rPr>
        <w:t xml:space="preserve"> </w:t>
      </w:r>
      <w:r>
        <w:rPr>
          <w:rFonts w:hint="eastAsia"/>
          <w:bCs/>
          <w:i/>
          <w:iCs/>
          <w:sz w:val="20"/>
        </w:rPr>
        <w:t>beam management</w:t>
      </w:r>
      <w:r>
        <w:rPr>
          <w:bCs/>
          <w:i/>
          <w:iCs/>
          <w:sz w:val="20"/>
        </w:rPr>
        <w:t xml:space="preserve"> &amp; mobility</w:t>
      </w:r>
      <w:r>
        <w:rPr>
          <w:rFonts w:hint="eastAsia"/>
          <w:bCs/>
          <w:i/>
          <w:iCs/>
          <w:sz w:val="20"/>
        </w:rPr>
        <w:t>, QCL source</w:t>
      </w:r>
      <w:r>
        <w:rPr>
          <w:bCs/>
          <w:i/>
          <w:iCs/>
          <w:sz w:val="20"/>
        </w:rPr>
        <w:t xml:space="preserve">) are still </w:t>
      </w:r>
      <w:r>
        <w:rPr>
          <w:rFonts w:hint="eastAsia"/>
          <w:bCs/>
          <w:i/>
          <w:iCs/>
          <w:sz w:val="20"/>
        </w:rPr>
        <w:t>necessary</w:t>
      </w:r>
      <w:r>
        <w:rPr>
          <w:bCs/>
          <w:i/>
          <w:iCs/>
          <w:sz w:val="20"/>
        </w:rPr>
        <w:t xml:space="preserve"> for 6G synchronization signal/channel design.</w:t>
      </w:r>
    </w:p>
    <w:p w:rsidR="001554A1" w:rsidRPr="006B71EB" w:rsidRDefault="00FE1B65">
      <w:pPr>
        <w:spacing w:before="120" w:after="120"/>
        <w:rPr>
          <w:sz w:val="20"/>
        </w:rPr>
      </w:pPr>
      <w:r w:rsidRPr="006B71EB">
        <w:rPr>
          <w:bCs/>
          <w:sz w:val="20"/>
        </w:rPr>
        <w:lastRenderedPageBreak/>
        <w:t xml:space="preserve">Regarding the detailed </w:t>
      </w:r>
      <w:r w:rsidRPr="006B71EB">
        <w:rPr>
          <w:rFonts w:hint="eastAsia"/>
          <w:bCs/>
          <w:sz w:val="20"/>
        </w:rPr>
        <w:t>design of SSB</w:t>
      </w:r>
      <w:r w:rsidRPr="006B71EB">
        <w:rPr>
          <w:bCs/>
          <w:sz w:val="20"/>
        </w:rPr>
        <w:t xml:space="preserve"> </w:t>
      </w:r>
      <w:r w:rsidRPr="006B71EB">
        <w:rPr>
          <w:rFonts w:hint="eastAsia"/>
          <w:bCs/>
          <w:sz w:val="20"/>
        </w:rPr>
        <w:t>in</w:t>
      </w:r>
      <w:r w:rsidRPr="006B71EB">
        <w:rPr>
          <w:bCs/>
          <w:sz w:val="20"/>
        </w:rPr>
        <w:t xml:space="preserve"> 5G NR, a</w:t>
      </w:r>
      <w:r w:rsidRPr="006B71EB">
        <w:rPr>
          <w:rFonts w:hint="eastAsia"/>
          <w:bCs/>
          <w:sz w:val="20"/>
        </w:rPr>
        <w:t>s shown in Figure 1, e</w:t>
      </w:r>
      <w:r w:rsidRPr="006B71EB">
        <w:rPr>
          <w:rFonts w:hint="eastAsia"/>
          <w:sz w:val="20"/>
        </w:rPr>
        <w:t xml:space="preserve">ach SSB occupies four </w:t>
      </w:r>
      <w:r w:rsidRPr="006B71EB">
        <w:rPr>
          <w:sz w:val="20"/>
        </w:rPr>
        <w:t xml:space="preserve">consecutive symbols </w:t>
      </w:r>
      <w:r w:rsidRPr="006B71EB">
        <w:rPr>
          <w:rFonts w:hint="eastAsia"/>
          <w:sz w:val="20"/>
        </w:rPr>
        <w:t xml:space="preserve">in time domain </w:t>
      </w:r>
      <w:r w:rsidRPr="006B71EB">
        <w:rPr>
          <w:sz w:val="20"/>
        </w:rPr>
        <w:t xml:space="preserve">and </w:t>
      </w:r>
      <w:r w:rsidRPr="006B71EB">
        <w:rPr>
          <w:rFonts w:hint="eastAsia"/>
          <w:sz w:val="20"/>
        </w:rPr>
        <w:t xml:space="preserve">spans </w:t>
      </w:r>
      <w:r w:rsidRPr="006B71EB">
        <w:rPr>
          <w:sz w:val="20"/>
        </w:rPr>
        <w:t>240 subcarriers</w:t>
      </w:r>
      <w:r w:rsidRPr="006B71EB">
        <w:rPr>
          <w:rFonts w:hint="eastAsia"/>
          <w:sz w:val="20"/>
        </w:rPr>
        <w:t xml:space="preserve"> in frequency domain</w:t>
      </w:r>
      <w:r w:rsidRPr="006B71EB">
        <w:rPr>
          <w:sz w:val="20"/>
        </w:rPr>
        <w:t xml:space="preserve"> </w:t>
      </w:r>
      <w:r w:rsidRPr="006B71EB">
        <w:rPr>
          <w:bCs/>
          <w:sz w:val="20"/>
        </w:rPr>
        <w:t>on</w:t>
      </w:r>
      <w:r w:rsidRPr="006B71EB">
        <w:rPr>
          <w:rFonts w:hint="eastAsia"/>
          <w:bCs/>
          <w:sz w:val="20"/>
        </w:rPr>
        <w:t xml:space="preserve"> the</w:t>
      </w:r>
      <w:r w:rsidRPr="006B71EB">
        <w:rPr>
          <w:bCs/>
          <w:sz w:val="20"/>
        </w:rPr>
        <w:t xml:space="preserve"> </w:t>
      </w:r>
      <w:r w:rsidRPr="006B71EB">
        <w:rPr>
          <w:rFonts w:hint="eastAsia"/>
          <w:bCs/>
          <w:sz w:val="20"/>
        </w:rPr>
        <w:t xml:space="preserve">predefined </w:t>
      </w:r>
      <w:r w:rsidRPr="006B71EB">
        <w:rPr>
          <w:bCs/>
          <w:sz w:val="20"/>
        </w:rPr>
        <w:t xml:space="preserve">synchronization raster </w:t>
      </w:r>
      <w:r w:rsidRPr="006B71EB">
        <w:rPr>
          <w:rFonts w:hint="eastAsia"/>
          <w:bCs/>
          <w:sz w:val="20"/>
        </w:rPr>
        <w:t>with a default transmission period of 20 ms</w:t>
      </w:r>
      <w:r w:rsidRPr="006B71EB">
        <w:rPr>
          <w:bCs/>
          <w:sz w:val="20"/>
        </w:rPr>
        <w:t xml:space="preserve">. </w:t>
      </w:r>
      <w:r w:rsidRPr="006B71EB">
        <w:rPr>
          <w:rFonts w:hint="eastAsia"/>
          <w:bCs/>
          <w:sz w:val="20"/>
        </w:rPr>
        <w:t xml:space="preserve">Within a transmission period, candidate time-domain positions for discontinuous SSBs are defined for </w:t>
      </w:r>
      <w:r w:rsidRPr="006B71EB">
        <w:rPr>
          <w:rFonts w:hint="eastAsia"/>
          <w:sz w:val="20"/>
        </w:rPr>
        <w:t>m</w:t>
      </w:r>
      <w:r w:rsidRPr="006B71EB">
        <w:rPr>
          <w:sz w:val="20"/>
        </w:rPr>
        <w:t>ultiple SCS</w:t>
      </w:r>
      <w:r w:rsidRPr="006B71EB">
        <w:rPr>
          <w:rFonts w:hint="eastAsia"/>
          <w:sz w:val="20"/>
        </w:rPr>
        <w:t xml:space="preserve"> configurations </w:t>
      </w:r>
      <w:r w:rsidRPr="006B71EB">
        <w:rPr>
          <w:rFonts w:hint="eastAsia"/>
          <w:bCs/>
          <w:sz w:val="20"/>
        </w:rPr>
        <w:t>and different maximum number (4, 8 or 64) corresponding to different frequency ranges.</w:t>
      </w:r>
      <w:r w:rsidRPr="006B71EB">
        <w:rPr>
          <w:bCs/>
          <w:sz w:val="20"/>
        </w:rPr>
        <w:t xml:space="preserve"> Other t</w:t>
      </w:r>
      <w:r w:rsidRPr="006B71EB">
        <w:rPr>
          <w:rFonts w:hint="eastAsia"/>
          <w:bCs/>
          <w:sz w:val="20"/>
        </w:rPr>
        <w:t xml:space="preserve">iming information for each SSB, including, </w:t>
      </w:r>
      <w:r w:rsidRPr="006B71EB">
        <w:rPr>
          <w:bCs/>
          <w:sz w:val="20"/>
        </w:rPr>
        <w:t xml:space="preserve">SFN, </w:t>
      </w:r>
      <w:r w:rsidRPr="006B71EB">
        <w:rPr>
          <w:rFonts w:hint="eastAsia"/>
          <w:bCs/>
          <w:sz w:val="20"/>
        </w:rPr>
        <w:t>HF</w:t>
      </w:r>
      <w:r w:rsidRPr="006B71EB">
        <w:rPr>
          <w:bCs/>
          <w:sz w:val="20"/>
        </w:rPr>
        <w:t>, and SSB index</w:t>
      </w:r>
      <w:r w:rsidRPr="006B71EB">
        <w:rPr>
          <w:rFonts w:hint="eastAsia"/>
          <w:bCs/>
          <w:sz w:val="20"/>
        </w:rPr>
        <w:t>,</w:t>
      </w:r>
      <w:r w:rsidRPr="006B71EB">
        <w:rPr>
          <w:bCs/>
          <w:sz w:val="20"/>
        </w:rPr>
        <w:t xml:space="preserve"> </w:t>
      </w:r>
      <w:r w:rsidRPr="006B71EB">
        <w:rPr>
          <w:rFonts w:hint="eastAsia"/>
          <w:bCs/>
          <w:sz w:val="20"/>
        </w:rPr>
        <w:t xml:space="preserve">is conveyed to UEs through signals and channels carried within the SSB itself. </w:t>
      </w:r>
      <w:r w:rsidRPr="006B71EB">
        <w:rPr>
          <w:rFonts w:hint="eastAsia"/>
          <w:sz w:val="20"/>
        </w:rPr>
        <w:t xml:space="preserve">In addition, </w:t>
      </w:r>
      <w:r w:rsidRPr="006B71EB">
        <w:rPr>
          <w:sz w:val="20"/>
        </w:rPr>
        <w:t>parameters (e.g. CORESET#0</w:t>
      </w:r>
      <w:r w:rsidRPr="006B71EB">
        <w:rPr>
          <w:rFonts w:hint="eastAsia"/>
          <w:sz w:val="20"/>
        </w:rPr>
        <w:t>/SS#0</w:t>
      </w:r>
      <w:r w:rsidRPr="006B71EB">
        <w:rPr>
          <w:sz w:val="20"/>
        </w:rPr>
        <w:t xml:space="preserve"> configuration) for monitoring of PDCCH for scheduling PDSCH that carries the SIB1</w:t>
      </w:r>
      <w:r w:rsidRPr="006B71EB">
        <w:rPr>
          <w:rFonts w:hint="eastAsia"/>
          <w:sz w:val="20"/>
        </w:rPr>
        <w:t xml:space="preserve"> are also provided via the</w:t>
      </w:r>
      <w:r w:rsidRPr="006B71EB">
        <w:rPr>
          <w:sz w:val="20"/>
        </w:rPr>
        <w:t xml:space="preserve"> MIB on PBCH</w:t>
      </w:r>
      <w:r w:rsidRPr="006B71EB">
        <w:rPr>
          <w:rFonts w:hint="eastAsia"/>
          <w:sz w:val="20"/>
        </w:rPr>
        <w:t>.</w:t>
      </w:r>
    </w:p>
    <w:p w:rsidR="001554A1" w:rsidRPr="006B71EB" w:rsidRDefault="00FE1B65">
      <w:pPr>
        <w:spacing w:before="120" w:after="120"/>
        <w:rPr>
          <w:bCs/>
          <w:sz w:val="20"/>
        </w:rPr>
      </w:pPr>
      <w:r w:rsidRPr="006B71EB">
        <w:rPr>
          <w:rFonts w:hint="eastAsia"/>
          <w:bCs/>
          <w:sz w:val="20"/>
        </w:rPr>
        <w:t>Building upon the fundamental structure and transmission mechanism of SSB as defined in NR Release 15, various enhancements have been introduced in later releases to address diverse application scenarios and requirements.</w:t>
      </w:r>
      <w:r w:rsidRPr="006B71EB">
        <w:rPr>
          <w:bCs/>
          <w:sz w:val="20"/>
        </w:rPr>
        <w:t xml:space="preserve"> For example, </w:t>
      </w:r>
      <w:r w:rsidRPr="006B71EB">
        <w:rPr>
          <w:rFonts w:hint="eastAsia"/>
          <w:bCs/>
          <w:sz w:val="20"/>
        </w:rPr>
        <w:t>in</w:t>
      </w:r>
      <w:r w:rsidRPr="006B71EB">
        <w:rPr>
          <w:bCs/>
          <w:sz w:val="20"/>
        </w:rPr>
        <w:t xml:space="preserve"> Rel-18, the </w:t>
      </w:r>
      <w:r w:rsidRPr="006B71EB">
        <w:rPr>
          <w:rFonts w:hint="eastAsia"/>
          <w:bCs/>
          <w:sz w:val="20"/>
        </w:rPr>
        <w:t>puncture-based transmission has been introduced for SSB/CORESET#0 in dedicated spectrum deployments</w:t>
      </w:r>
      <w:r w:rsidRPr="006B71EB">
        <w:rPr>
          <w:bCs/>
          <w:sz w:val="20"/>
        </w:rPr>
        <w:t xml:space="preserve"> less than 5 MHz, SCell SSB-less operation is introduced in inter-band CA for energy saving. Additionally, extension of </w:t>
      </w:r>
      <w:r w:rsidRPr="006B71EB">
        <w:rPr>
          <w:rFonts w:hint="eastAsia"/>
          <w:bCs/>
          <w:sz w:val="20"/>
        </w:rPr>
        <w:t>periodicity</w:t>
      </w:r>
      <w:r w:rsidRPr="006B71EB">
        <w:rPr>
          <w:bCs/>
          <w:sz w:val="20"/>
        </w:rPr>
        <w:t xml:space="preserve">, e.g., to 160 ms, is considered in Rel-19 to support NR-NTN and Network energy saving. </w:t>
      </w:r>
    </w:p>
    <w:p w:rsidR="001554A1" w:rsidRPr="006B71EB" w:rsidRDefault="00FE1B65">
      <w:pPr>
        <w:spacing w:before="120" w:after="120"/>
        <w:rPr>
          <w:bCs/>
          <w:sz w:val="20"/>
        </w:rPr>
      </w:pPr>
      <w:r w:rsidRPr="006B71EB">
        <w:rPr>
          <w:bCs/>
          <w:sz w:val="20"/>
        </w:rPr>
        <w:t xml:space="preserve">Furthermore, for downlink common channel transmission, </w:t>
      </w:r>
      <w:r w:rsidRPr="006B71EB">
        <w:rPr>
          <w:rFonts w:hint="eastAsia"/>
          <w:bCs/>
          <w:sz w:val="20"/>
        </w:rPr>
        <w:t xml:space="preserve">such as, </w:t>
      </w:r>
      <w:r w:rsidRPr="006B71EB">
        <w:rPr>
          <w:bCs/>
          <w:sz w:val="20"/>
        </w:rPr>
        <w:t xml:space="preserve">SIB1, OSI, paging, etc., the beam sweeping transmission mechanism effectively ensures coverage performance. However, </w:t>
      </w:r>
      <w:r w:rsidRPr="006B71EB">
        <w:rPr>
          <w:rFonts w:hint="eastAsia"/>
          <w:bCs/>
          <w:sz w:val="20"/>
        </w:rPr>
        <w:t xml:space="preserve">each </w:t>
      </w:r>
      <w:r w:rsidRPr="006B71EB">
        <w:rPr>
          <w:bCs/>
          <w:sz w:val="20"/>
        </w:rPr>
        <w:t xml:space="preserve">downlink common channel employs </w:t>
      </w:r>
      <w:r w:rsidRPr="006B71EB">
        <w:rPr>
          <w:rFonts w:hint="eastAsia"/>
          <w:bCs/>
          <w:sz w:val="20"/>
        </w:rPr>
        <w:t>a distinct</w:t>
      </w:r>
      <w:r w:rsidRPr="006B71EB">
        <w:rPr>
          <w:bCs/>
          <w:sz w:val="20"/>
        </w:rPr>
        <w:t xml:space="preserve"> sweeping pattern </w:t>
      </w:r>
      <w:r w:rsidRPr="006B71EB">
        <w:rPr>
          <w:rFonts w:hint="eastAsia"/>
          <w:bCs/>
          <w:sz w:val="20"/>
        </w:rPr>
        <w:t xml:space="preserve">with transmissions </w:t>
      </w:r>
      <w:r w:rsidRPr="006B71EB">
        <w:rPr>
          <w:bCs/>
          <w:sz w:val="20"/>
        </w:rPr>
        <w:t xml:space="preserve">concentrated within the bandwidth of CORESET#0, resulting in substantial time-domain resource consumption. This imposes </w:t>
      </w:r>
      <w:r w:rsidR="00ED5282">
        <w:rPr>
          <w:rFonts w:hint="eastAsia"/>
          <w:bCs/>
          <w:sz w:val="20"/>
        </w:rPr>
        <w:t>restriction</w:t>
      </w:r>
      <w:r w:rsidR="00ED5282">
        <w:rPr>
          <w:bCs/>
          <w:sz w:val="20"/>
        </w:rPr>
        <w:t>s</w:t>
      </w:r>
      <w:r w:rsidRPr="006B71EB">
        <w:rPr>
          <w:bCs/>
          <w:sz w:val="20"/>
        </w:rPr>
        <w:t xml:space="preserve"> </w:t>
      </w:r>
      <w:r w:rsidR="00ED5282">
        <w:rPr>
          <w:bCs/>
          <w:sz w:val="20"/>
        </w:rPr>
        <w:t>on</w:t>
      </w:r>
      <w:r w:rsidRPr="006B71EB">
        <w:rPr>
          <w:bCs/>
          <w:sz w:val="20"/>
        </w:rPr>
        <w:t xml:space="preserve"> network energy efficiency and </w:t>
      </w:r>
      <w:r w:rsidRPr="006B71EB">
        <w:rPr>
          <w:rFonts w:hint="eastAsia"/>
          <w:bCs/>
          <w:sz w:val="20"/>
        </w:rPr>
        <w:t>complicates the implementation of beam hopping mechanism in NR-NTN.</w:t>
      </w:r>
    </w:p>
    <w:p w:rsidR="001554A1" w:rsidRPr="006B71EB" w:rsidRDefault="00FE1B65">
      <w:pPr>
        <w:spacing w:before="120" w:after="120"/>
        <w:rPr>
          <w:bCs/>
          <w:sz w:val="20"/>
        </w:rPr>
      </w:pPr>
      <w:r w:rsidRPr="006B71EB">
        <w:rPr>
          <w:bCs/>
          <w:sz w:val="20"/>
        </w:rPr>
        <w:t xml:space="preserve">All these enhancements </w:t>
      </w:r>
      <w:r w:rsidR="00E52E8E">
        <w:rPr>
          <w:bCs/>
          <w:sz w:val="20"/>
        </w:rPr>
        <w:t xml:space="preserve">have </w:t>
      </w:r>
      <w:r w:rsidRPr="006B71EB">
        <w:rPr>
          <w:bCs/>
          <w:sz w:val="20"/>
        </w:rPr>
        <w:t xml:space="preserve">backward </w:t>
      </w:r>
      <w:r w:rsidRPr="006B71EB">
        <w:rPr>
          <w:rFonts w:hint="eastAsia"/>
          <w:bCs/>
          <w:sz w:val="20"/>
        </w:rPr>
        <w:t>compatibility</w:t>
      </w:r>
      <w:r w:rsidRPr="006B71EB">
        <w:rPr>
          <w:bCs/>
          <w:sz w:val="20"/>
        </w:rPr>
        <w:t xml:space="preserve"> </w:t>
      </w:r>
      <w:r w:rsidRPr="006B71EB">
        <w:rPr>
          <w:rFonts w:hint="eastAsia"/>
          <w:bCs/>
          <w:sz w:val="20"/>
        </w:rPr>
        <w:t>issues</w:t>
      </w:r>
      <w:r w:rsidRPr="006B71EB">
        <w:rPr>
          <w:bCs/>
          <w:sz w:val="20"/>
        </w:rPr>
        <w:t xml:space="preserve"> with </w:t>
      </w:r>
      <w:r w:rsidRPr="006B71EB">
        <w:rPr>
          <w:rFonts w:hint="eastAsia"/>
          <w:bCs/>
          <w:sz w:val="20"/>
        </w:rPr>
        <w:t>significant</w:t>
      </w:r>
      <w:r w:rsidRPr="006B71EB">
        <w:rPr>
          <w:bCs/>
          <w:sz w:val="20"/>
        </w:rPr>
        <w:t xml:space="preserve"> </w:t>
      </w:r>
      <w:r w:rsidR="00916627">
        <w:rPr>
          <w:bCs/>
          <w:sz w:val="20"/>
        </w:rPr>
        <w:t xml:space="preserve">impact </w:t>
      </w:r>
      <w:r w:rsidRPr="006B71EB">
        <w:rPr>
          <w:bCs/>
          <w:sz w:val="20"/>
        </w:rPr>
        <w:t>on the commericalization of new feature</w:t>
      </w:r>
      <w:r w:rsidR="00CC51ED">
        <w:rPr>
          <w:bCs/>
          <w:sz w:val="20"/>
        </w:rPr>
        <w:t>s</w:t>
      </w:r>
      <w:r w:rsidRPr="006B71EB">
        <w:rPr>
          <w:bCs/>
          <w:sz w:val="20"/>
        </w:rPr>
        <w:t xml:space="preserve">. Additionally, with limited future-proof design, the </w:t>
      </w:r>
      <w:r w:rsidRPr="006B71EB">
        <w:rPr>
          <w:rFonts w:hint="eastAsia"/>
          <w:bCs/>
          <w:sz w:val="20"/>
        </w:rPr>
        <w:t xml:space="preserve">effect of </w:t>
      </w:r>
      <w:r w:rsidR="00FE4D74">
        <w:rPr>
          <w:bCs/>
          <w:sz w:val="20"/>
        </w:rPr>
        <w:t>these</w:t>
      </w:r>
      <w:r w:rsidRPr="006B71EB">
        <w:rPr>
          <w:bCs/>
          <w:sz w:val="20"/>
        </w:rPr>
        <w:t xml:space="preserve"> </w:t>
      </w:r>
      <w:r w:rsidRPr="006B71EB">
        <w:rPr>
          <w:rFonts w:hint="eastAsia"/>
          <w:bCs/>
          <w:sz w:val="20"/>
        </w:rPr>
        <w:t xml:space="preserve">enhancement is not very obvious. </w:t>
      </w:r>
      <w:r w:rsidR="004A2BFE">
        <w:rPr>
          <w:bCs/>
          <w:sz w:val="20"/>
        </w:rPr>
        <w:t>Then, t</w:t>
      </w:r>
      <w:r w:rsidRPr="006B71EB">
        <w:rPr>
          <w:bCs/>
          <w:sz w:val="20"/>
        </w:rPr>
        <w:t>he differen</w:t>
      </w:r>
      <w:r w:rsidR="004A2BFE">
        <w:rPr>
          <w:bCs/>
          <w:sz w:val="20"/>
        </w:rPr>
        <w:t>ce</w:t>
      </w:r>
      <w:r w:rsidRPr="006B71EB">
        <w:rPr>
          <w:bCs/>
          <w:sz w:val="20"/>
        </w:rPr>
        <w:t xml:space="preserve"> and compatibility between </w:t>
      </w:r>
      <w:r w:rsidR="004A2BFE">
        <w:rPr>
          <w:bCs/>
          <w:sz w:val="20"/>
        </w:rPr>
        <w:t xml:space="preserve">all </w:t>
      </w:r>
      <w:r w:rsidRPr="006B71EB">
        <w:rPr>
          <w:bCs/>
          <w:sz w:val="20"/>
        </w:rPr>
        <w:t xml:space="preserve">new and old requirements </w:t>
      </w:r>
      <w:r w:rsidRPr="006B71EB">
        <w:rPr>
          <w:rFonts w:hint="eastAsia"/>
          <w:bCs/>
          <w:sz w:val="20"/>
        </w:rPr>
        <w:t xml:space="preserve">should also </w:t>
      </w:r>
      <w:r w:rsidRPr="006B71EB">
        <w:rPr>
          <w:bCs/>
          <w:sz w:val="20"/>
        </w:rPr>
        <w:t>be considered</w:t>
      </w:r>
      <w:r w:rsidR="004A2BFE">
        <w:rPr>
          <w:bCs/>
          <w:sz w:val="20"/>
        </w:rPr>
        <w:t xml:space="preserve"> in 6G design</w:t>
      </w:r>
      <w:r w:rsidR="00726A63">
        <w:rPr>
          <w:bCs/>
          <w:sz w:val="20"/>
        </w:rPr>
        <w:t>.</w:t>
      </w:r>
      <w:r w:rsidR="004A2BFE">
        <w:rPr>
          <w:bCs/>
          <w:sz w:val="20"/>
        </w:rPr>
        <w:t xml:space="preserve"> </w:t>
      </w:r>
      <w:r w:rsidR="00726A63">
        <w:rPr>
          <w:bCs/>
          <w:sz w:val="20"/>
        </w:rPr>
        <w:t>O</w:t>
      </w:r>
      <w:r w:rsidR="004A2BFE">
        <w:rPr>
          <w:bCs/>
          <w:sz w:val="20"/>
        </w:rPr>
        <w:t>therwise, it will</w:t>
      </w:r>
      <w:r w:rsidRPr="006B71EB">
        <w:rPr>
          <w:bCs/>
          <w:sz w:val="20"/>
        </w:rPr>
        <w:t xml:space="preserve"> lead to a sharp increase </w:t>
      </w:r>
      <w:r w:rsidR="00B61D63">
        <w:rPr>
          <w:bCs/>
          <w:sz w:val="20"/>
        </w:rPr>
        <w:t>of</w:t>
      </w:r>
      <w:r w:rsidRPr="006B71EB">
        <w:rPr>
          <w:bCs/>
          <w:sz w:val="20"/>
        </w:rPr>
        <w:t xml:space="preserve"> system complexity in the long-term development.</w:t>
      </w:r>
      <w:r w:rsidRPr="006B71EB">
        <w:rPr>
          <w:rFonts w:hint="eastAsia"/>
          <w:bCs/>
          <w:sz w:val="20"/>
        </w:rPr>
        <w:t xml:space="preserve"> </w:t>
      </w:r>
    </w:p>
    <w:p w:rsidR="001554A1" w:rsidRDefault="00FE1B65">
      <w:pPr>
        <w:spacing w:before="120" w:after="120"/>
        <w:rPr>
          <w:bCs/>
          <w:i/>
          <w:sz w:val="20"/>
        </w:rPr>
      </w:pPr>
      <w:r>
        <w:rPr>
          <w:b/>
          <w:bCs/>
          <w:i/>
          <w:sz w:val="20"/>
        </w:rPr>
        <w:t xml:space="preserve">Observation </w:t>
      </w:r>
      <w:r>
        <w:rPr>
          <w:rFonts w:hint="eastAsia"/>
          <w:b/>
          <w:bCs/>
          <w:i/>
          <w:sz w:val="20"/>
        </w:rPr>
        <w:t>2</w:t>
      </w:r>
      <w:r>
        <w:rPr>
          <w:b/>
          <w:bCs/>
          <w:i/>
          <w:sz w:val="20"/>
        </w:rPr>
        <w:t>:</w:t>
      </w:r>
      <w:r>
        <w:rPr>
          <w:bCs/>
          <w:i/>
          <w:sz w:val="20"/>
        </w:rPr>
        <w:t xml:space="preserve"> The </w:t>
      </w:r>
      <w:r>
        <w:rPr>
          <w:rFonts w:hint="eastAsia"/>
          <w:bCs/>
          <w:i/>
          <w:sz w:val="20"/>
        </w:rPr>
        <w:t xml:space="preserve">design of </w:t>
      </w:r>
      <w:r>
        <w:rPr>
          <w:bCs/>
          <w:i/>
          <w:sz w:val="20"/>
        </w:rPr>
        <w:t>SSB</w:t>
      </w:r>
      <w:r>
        <w:rPr>
          <w:rFonts w:hint="eastAsia"/>
          <w:bCs/>
          <w:i/>
          <w:sz w:val="20"/>
        </w:rPr>
        <w:t xml:space="preserve"> and DL common channels</w:t>
      </w:r>
      <w:r>
        <w:rPr>
          <w:bCs/>
          <w:i/>
          <w:sz w:val="20"/>
        </w:rPr>
        <w:t xml:space="preserve"> </w:t>
      </w:r>
      <w:r>
        <w:rPr>
          <w:rFonts w:hint="eastAsia"/>
          <w:bCs/>
          <w:i/>
          <w:sz w:val="20"/>
        </w:rPr>
        <w:t xml:space="preserve">transmission </w:t>
      </w:r>
      <w:r>
        <w:rPr>
          <w:bCs/>
          <w:i/>
          <w:sz w:val="20"/>
        </w:rPr>
        <w:t xml:space="preserve">in </w:t>
      </w:r>
      <w:r>
        <w:rPr>
          <w:rFonts w:hint="eastAsia"/>
          <w:bCs/>
          <w:i/>
          <w:sz w:val="20"/>
        </w:rPr>
        <w:t xml:space="preserve">5G </w:t>
      </w:r>
      <w:r>
        <w:rPr>
          <w:bCs/>
          <w:i/>
          <w:sz w:val="20"/>
        </w:rPr>
        <w:t>NR has limited forward compatibility.</w:t>
      </w:r>
    </w:p>
    <w:p w:rsidR="001554A1" w:rsidRDefault="00FE1B6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Requirements</w:t>
      </w:r>
      <w:r>
        <w:rPr>
          <w:rFonts w:ascii="Times New Roman" w:eastAsia="宋体" w:hAnsi="Times New Roman"/>
          <w:b/>
          <w:sz w:val="24"/>
          <w:szCs w:val="24"/>
        </w:rPr>
        <w:t xml:space="preserve"> and </w:t>
      </w:r>
      <w:r>
        <w:rPr>
          <w:rFonts w:ascii="Times New Roman" w:eastAsia="宋体" w:hAnsi="Times New Roman" w:hint="eastAsia"/>
          <w:b/>
          <w:sz w:val="24"/>
          <w:szCs w:val="24"/>
        </w:rPr>
        <w:t xml:space="preserve">functionality </w:t>
      </w:r>
      <w:r>
        <w:rPr>
          <w:rFonts w:ascii="Times New Roman" w:eastAsia="宋体" w:hAnsi="Times New Roman"/>
          <w:b/>
          <w:sz w:val="24"/>
          <w:szCs w:val="24"/>
        </w:rPr>
        <w:t>on synchronization signal/channel design</w:t>
      </w:r>
      <w:r>
        <w:rPr>
          <w:rFonts w:ascii="Times New Roman" w:eastAsia="宋体" w:hAnsi="Times New Roman" w:hint="eastAsia"/>
          <w:b/>
          <w:sz w:val="24"/>
          <w:szCs w:val="24"/>
        </w:rPr>
        <w:t xml:space="preserve"> in 6GR</w:t>
      </w:r>
    </w:p>
    <w:p w:rsidR="001554A1" w:rsidRDefault="00FE1B65">
      <w:pPr>
        <w:spacing w:before="120" w:after="120"/>
        <w:rPr>
          <w:sz w:val="20"/>
        </w:rPr>
      </w:pPr>
      <w:r>
        <w:rPr>
          <w:sz w:val="20"/>
        </w:rPr>
        <w:t xml:space="preserve">According to the previous discussion, additional considerations have been identified for 6G design as highlighted in following agreement. </w:t>
      </w:r>
    </w:p>
    <w:tbl>
      <w:tblPr>
        <w:tblStyle w:val="af3"/>
        <w:tblW w:w="0" w:type="auto"/>
        <w:tblInd w:w="109" w:type="dxa"/>
        <w:tblLook w:val="04A0" w:firstRow="1" w:lastRow="0" w:firstColumn="1" w:lastColumn="0" w:noHBand="0" w:noVBand="1"/>
      </w:tblPr>
      <w:tblGrid>
        <w:gridCol w:w="9541"/>
      </w:tblGrid>
      <w:tr w:rsidR="001554A1">
        <w:tc>
          <w:tcPr>
            <w:tcW w:w="9660" w:type="dxa"/>
          </w:tcPr>
          <w:p w:rsidR="001554A1" w:rsidRDefault="00FE1B65">
            <w:pPr>
              <w:pStyle w:val="a9"/>
              <w:numPr>
                <w:ilvl w:val="255"/>
                <w:numId w:val="0"/>
              </w:numPr>
              <w:spacing w:beforeLines="0" w:afterLines="0" w:after="0" w:line="240" w:lineRule="auto"/>
              <w:rPr>
                <w:rFonts w:ascii="Times New Roman" w:eastAsia="等线" w:hAnsi="Times New Roman"/>
                <w:sz w:val="20"/>
                <w:szCs w:val="21"/>
                <w:highlight w:val="green"/>
              </w:rPr>
            </w:pPr>
            <w:r>
              <w:rPr>
                <w:rFonts w:ascii="Times New Roman" w:eastAsia="等线" w:hAnsi="Times New Roman"/>
                <w:sz w:val="20"/>
                <w:szCs w:val="21"/>
                <w:highlight w:val="green"/>
              </w:rPr>
              <w:t>Agreement</w:t>
            </w:r>
          </w:p>
          <w:p w:rsidR="001554A1" w:rsidRDefault="00FE1B65">
            <w:pPr>
              <w:pStyle w:val="a9"/>
              <w:numPr>
                <w:ilvl w:val="0"/>
                <w:numId w:val="8"/>
              </w:numPr>
              <w:suppressAutoHyphens/>
              <w:spacing w:beforeLines="0" w:afterLines="0" w:after="0" w:line="240" w:lineRule="auto"/>
              <w:rPr>
                <w:rFonts w:ascii="Times New Roman" w:hAnsi="Times New Roman"/>
                <w:sz w:val="20"/>
                <w:szCs w:val="21"/>
              </w:rPr>
            </w:pPr>
            <w:r>
              <w:rPr>
                <w:rFonts w:ascii="Times New Roman" w:hAnsi="Times New Roman"/>
                <w:sz w:val="20"/>
                <w:szCs w:val="21"/>
              </w:rPr>
              <w:t>High-level aspects to consider for the 6GR sync</w:t>
            </w:r>
            <w:r>
              <w:rPr>
                <w:rFonts w:ascii="Times New Roman" w:eastAsia="等线" w:hAnsi="Times New Roman"/>
                <w:sz w:val="20"/>
                <w:szCs w:val="21"/>
              </w:rPr>
              <w:t xml:space="preserve"> signal</w:t>
            </w:r>
            <w:r>
              <w:rPr>
                <w:rFonts w:ascii="Times New Roman" w:hAnsi="Times New Roman"/>
                <w:sz w:val="20"/>
                <w:szCs w:val="21"/>
              </w:rPr>
              <w:t xml:space="preserve"> structure include, but not limited to</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Sync raster design</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Spectrum allocation</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smallest maximum supported RF and BB UE BW without spectrum aggregation</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mobile broadband service requirements as high priority</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Energy efficiency for both BS and UE</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Detection/tracking performance, latency, and complexity</w:t>
            </w:r>
          </w:p>
          <w:p w:rsidR="001554A1" w:rsidRDefault="00FE1B65">
            <w:pPr>
              <w:pStyle w:val="a9"/>
              <w:numPr>
                <w:ilvl w:val="2"/>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Including initial cell search</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Coverage target</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Common design for diverse device types</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Consideration of the supported deployment</w:t>
            </w:r>
          </w:p>
          <w:p w:rsidR="001554A1" w:rsidRDefault="00FE1B65">
            <w:pPr>
              <w:pStyle w:val="a9"/>
              <w:numPr>
                <w:ilvl w:val="1"/>
                <w:numId w:val="9"/>
              </w:numPr>
              <w:suppressAutoHyphens/>
              <w:spacing w:beforeLines="0" w:afterLines="0" w:after="0" w:line="240" w:lineRule="auto"/>
              <w:rPr>
                <w:rFonts w:ascii="Times New Roman" w:hAnsi="Times New Roman"/>
                <w:sz w:val="20"/>
                <w:szCs w:val="21"/>
              </w:rPr>
            </w:pPr>
            <w:r>
              <w:rPr>
                <w:rFonts w:ascii="Times New Roman" w:hAnsi="Times New Roman"/>
                <w:sz w:val="20"/>
                <w:szCs w:val="21"/>
              </w:rPr>
              <w:t xml:space="preserve">Consideration on whether the </w:t>
            </w:r>
            <w:r>
              <w:rPr>
                <w:rFonts w:ascii="Times New Roman" w:eastAsia="等线" w:hAnsi="Times New Roman"/>
                <w:sz w:val="20"/>
                <w:szCs w:val="21"/>
              </w:rPr>
              <w:t>single</w:t>
            </w:r>
            <w:r>
              <w:rPr>
                <w:rFonts w:ascii="Times New Roman" w:hAnsi="Times New Roman"/>
                <w:sz w:val="20"/>
                <w:szCs w:val="21"/>
              </w:rPr>
              <w:t xml:space="preserve"> sync</w:t>
            </w:r>
            <w:r>
              <w:rPr>
                <w:rFonts w:ascii="Times New Roman" w:eastAsia="等线" w:hAnsi="Times New Roman"/>
                <w:sz w:val="20"/>
                <w:szCs w:val="21"/>
              </w:rPr>
              <w:t xml:space="preserve"> signal structure</w:t>
            </w:r>
            <w:r>
              <w:rPr>
                <w:rFonts w:ascii="Times New Roman" w:hAnsi="Times New Roman"/>
                <w:sz w:val="20"/>
                <w:szCs w:val="21"/>
              </w:rPr>
              <w:t xml:space="preserve"> is</w:t>
            </w:r>
            <w:r>
              <w:rPr>
                <w:rFonts w:ascii="Times New Roman" w:eastAsia="等线" w:hAnsi="Times New Roman"/>
                <w:sz w:val="20"/>
                <w:szCs w:val="21"/>
              </w:rPr>
              <w:t xml:space="preserve"> sufficient</w:t>
            </w:r>
          </w:p>
          <w:p w:rsidR="001554A1" w:rsidRDefault="00FE1B65">
            <w:pPr>
              <w:pStyle w:val="a9"/>
              <w:numPr>
                <w:ilvl w:val="1"/>
                <w:numId w:val="9"/>
              </w:numPr>
              <w:spacing w:beforeLines="0" w:afterLines="0" w:after="0" w:line="240" w:lineRule="auto"/>
              <w:rPr>
                <w:sz w:val="20"/>
              </w:rPr>
            </w:pPr>
            <w:r>
              <w:rPr>
                <w:rFonts w:ascii="Times New Roman" w:hAnsi="Times New Roman"/>
                <w:sz w:val="20"/>
                <w:szCs w:val="21"/>
              </w:rPr>
              <w:t>Note: Aspects impacting on the periodicity is to be discussed under AI11.5</w:t>
            </w:r>
          </w:p>
        </w:tc>
      </w:tr>
    </w:tbl>
    <w:p w:rsidR="001554A1" w:rsidRDefault="00FE1B65">
      <w:pPr>
        <w:spacing w:before="120" w:after="120"/>
        <w:rPr>
          <w:bCs/>
          <w:sz w:val="20"/>
        </w:rPr>
      </w:pPr>
      <w:r>
        <w:rPr>
          <w:bCs/>
          <w:sz w:val="20"/>
        </w:rPr>
        <w:t>Among</w:t>
      </w:r>
      <w:r w:rsidR="0027459C">
        <w:rPr>
          <w:bCs/>
          <w:sz w:val="20"/>
        </w:rPr>
        <w:t xml:space="preserve"> the </w:t>
      </w:r>
      <w:r>
        <w:rPr>
          <w:bCs/>
          <w:sz w:val="20"/>
        </w:rPr>
        <w:t>listed aspects</w:t>
      </w:r>
      <w:r w:rsidR="0027459C" w:rsidRPr="0027459C">
        <w:rPr>
          <w:bCs/>
          <w:sz w:val="20"/>
        </w:rPr>
        <w:t xml:space="preserve"> </w:t>
      </w:r>
      <w:r w:rsidR="0027459C">
        <w:rPr>
          <w:bCs/>
          <w:sz w:val="20"/>
        </w:rPr>
        <w:t>above</w:t>
      </w:r>
      <w:r>
        <w:rPr>
          <w:bCs/>
          <w:sz w:val="20"/>
        </w:rPr>
        <w:t xml:space="preserve">, firstly, as one key consideration for 6G is to enable the </w:t>
      </w:r>
      <w:r>
        <w:rPr>
          <w:rFonts w:hint="eastAsia"/>
          <w:sz w:val="20"/>
        </w:rPr>
        <w:t xml:space="preserve">usage of new spectrum, e.g., </w:t>
      </w:r>
      <w:r>
        <w:rPr>
          <w:rFonts w:hint="eastAsia"/>
          <w:bCs/>
          <w:sz w:val="20"/>
        </w:rPr>
        <w:t>U6GHz</w:t>
      </w:r>
      <w:r>
        <w:rPr>
          <w:bCs/>
          <w:sz w:val="20"/>
        </w:rPr>
        <w:t xml:space="preserve">, especially with comparable coverage performance with </w:t>
      </w:r>
      <w:r>
        <w:rPr>
          <w:rFonts w:hint="eastAsia"/>
          <w:bCs/>
          <w:sz w:val="20"/>
        </w:rPr>
        <w:t xml:space="preserve">existing </w:t>
      </w:r>
      <w:r>
        <w:rPr>
          <w:bCs/>
          <w:sz w:val="20"/>
        </w:rPr>
        <w:t xml:space="preserve">mid-band frequencies, e.g., 3.5 and 2.6 GHz. Based on the analysis in </w:t>
      </w:r>
      <w:r>
        <w:rPr>
          <w:bCs/>
          <w:sz w:val="20"/>
        </w:rPr>
        <w:fldChar w:fldCharType="begin"/>
      </w:r>
      <w:r>
        <w:rPr>
          <w:bCs/>
          <w:sz w:val="20"/>
        </w:rPr>
        <w:instrText xml:space="preserve"> REF _Ref220157828 \r \h </w:instrText>
      </w:r>
      <w:r>
        <w:rPr>
          <w:bCs/>
          <w:sz w:val="20"/>
        </w:rPr>
      </w:r>
      <w:r>
        <w:rPr>
          <w:bCs/>
          <w:sz w:val="20"/>
        </w:rPr>
        <w:fldChar w:fldCharType="separate"/>
      </w:r>
      <w:r>
        <w:rPr>
          <w:bCs/>
          <w:sz w:val="20"/>
        </w:rPr>
        <w:t>[2]</w:t>
      </w:r>
      <w:r>
        <w:rPr>
          <w:bCs/>
          <w:sz w:val="20"/>
        </w:rPr>
        <w:fldChar w:fldCharType="end"/>
      </w:r>
      <w:r>
        <w:rPr>
          <w:bCs/>
          <w:sz w:val="20"/>
        </w:rPr>
        <w:t xml:space="preserve">, enlarged SSB </w:t>
      </w:r>
      <w:r>
        <w:rPr>
          <w:rFonts w:hint="eastAsia"/>
          <w:bCs/>
          <w:sz w:val="20"/>
        </w:rPr>
        <w:t>capacity</w:t>
      </w:r>
      <w:r>
        <w:rPr>
          <w:bCs/>
          <w:sz w:val="20"/>
        </w:rPr>
        <w:t xml:space="preserve"> (e.g., increased number of SSB to 32)</w:t>
      </w:r>
      <w:r>
        <w:rPr>
          <w:rFonts w:hint="eastAsia"/>
          <w:bCs/>
          <w:sz w:val="20"/>
        </w:rPr>
        <w:t xml:space="preserve"> </w:t>
      </w:r>
      <w:r>
        <w:rPr>
          <w:bCs/>
          <w:sz w:val="20"/>
        </w:rPr>
        <w:t xml:space="preserve">seems necessary to match the deployment with larger antenna </w:t>
      </w:r>
      <w:r>
        <w:rPr>
          <w:rFonts w:hint="eastAsia"/>
          <w:bCs/>
          <w:sz w:val="20"/>
        </w:rPr>
        <w:t>array.</w:t>
      </w:r>
      <w:r>
        <w:rPr>
          <w:bCs/>
          <w:sz w:val="20"/>
        </w:rPr>
        <w:t xml:space="preserve"> Meanwhile, this is also </w:t>
      </w:r>
      <w:r>
        <w:rPr>
          <w:rFonts w:hint="eastAsia"/>
          <w:bCs/>
          <w:sz w:val="20"/>
        </w:rPr>
        <w:t>beneficial</w:t>
      </w:r>
      <w:r>
        <w:rPr>
          <w:bCs/>
          <w:sz w:val="20"/>
        </w:rPr>
        <w:t xml:space="preserve"> to enable the deployment of cell-free/</w:t>
      </w:r>
      <w:r w:rsidR="00774DA2">
        <w:rPr>
          <w:bCs/>
          <w:sz w:val="20"/>
        </w:rPr>
        <w:t>m</w:t>
      </w:r>
      <w:r>
        <w:rPr>
          <w:bCs/>
          <w:sz w:val="20"/>
        </w:rPr>
        <w:t xml:space="preserve">TRP (e.g., to </w:t>
      </w:r>
      <w:r>
        <w:rPr>
          <w:rFonts w:hint="eastAsia"/>
          <w:bCs/>
          <w:sz w:val="20"/>
        </w:rPr>
        <w:t>identify</w:t>
      </w:r>
      <w:r>
        <w:rPr>
          <w:bCs/>
          <w:sz w:val="20"/>
        </w:rPr>
        <w:t xml:space="preserve"> cell</w:t>
      </w:r>
      <w:r>
        <w:rPr>
          <w:rFonts w:hint="eastAsia"/>
          <w:bCs/>
          <w:sz w:val="20"/>
        </w:rPr>
        <w:t>-cluster</w:t>
      </w:r>
      <w:r>
        <w:rPr>
          <w:bCs/>
          <w:sz w:val="20"/>
        </w:rPr>
        <w:t xml:space="preserve"> and TRP</w:t>
      </w:r>
      <w:r>
        <w:rPr>
          <w:rFonts w:hint="eastAsia"/>
          <w:bCs/>
          <w:sz w:val="20"/>
        </w:rPr>
        <w:t>s associated with</w:t>
      </w:r>
      <w:r w:rsidR="000B27C2">
        <w:rPr>
          <w:bCs/>
          <w:sz w:val="20"/>
        </w:rPr>
        <w:t xml:space="preserve">in one </w:t>
      </w:r>
      <w:r>
        <w:rPr>
          <w:rFonts w:hint="eastAsia"/>
          <w:bCs/>
          <w:sz w:val="20"/>
        </w:rPr>
        <w:t>cell-cluster</w:t>
      </w:r>
      <w:r>
        <w:rPr>
          <w:bCs/>
          <w:sz w:val="20"/>
        </w:rPr>
        <w:t xml:space="preserve">) and NTN deployment. </w:t>
      </w:r>
      <w:r>
        <w:rPr>
          <w:rFonts w:hint="eastAsia"/>
          <w:sz w:val="20"/>
        </w:rPr>
        <w:t>Therefore,</w:t>
      </w:r>
      <w:r>
        <w:rPr>
          <w:sz w:val="20"/>
        </w:rPr>
        <w:t xml:space="preserve"> </w:t>
      </w:r>
      <w:r>
        <w:rPr>
          <w:bCs/>
          <w:sz w:val="20"/>
        </w:rPr>
        <w:t>the</w:t>
      </w:r>
      <w:r>
        <w:rPr>
          <w:rFonts w:hint="eastAsia"/>
          <w:sz w:val="20"/>
        </w:rPr>
        <w:t xml:space="preserve"> mechanism that can effectively enhance coverage performance</w:t>
      </w:r>
      <w:r>
        <w:rPr>
          <w:sz w:val="20"/>
        </w:rPr>
        <w:t xml:space="preserve"> along with t</w:t>
      </w:r>
      <w:r>
        <w:rPr>
          <w:rFonts w:hint="eastAsia"/>
          <w:sz w:val="20"/>
        </w:rPr>
        <w:t>he capacity of SSB can be considered</w:t>
      </w:r>
      <w:r>
        <w:rPr>
          <w:rFonts w:hint="eastAsia"/>
          <w:bCs/>
          <w:sz w:val="20"/>
        </w:rPr>
        <w:t xml:space="preserve">. </w:t>
      </w:r>
    </w:p>
    <w:p w:rsidR="001554A1" w:rsidRDefault="00FE1B65">
      <w:pPr>
        <w:spacing w:before="120" w:after="120"/>
        <w:rPr>
          <w:bCs/>
          <w:sz w:val="20"/>
        </w:rPr>
      </w:pPr>
      <w:r>
        <w:rPr>
          <w:bCs/>
          <w:sz w:val="20"/>
        </w:rPr>
        <w:t xml:space="preserve">Secondly, native support of energy efficiency is one </w:t>
      </w:r>
      <w:r>
        <w:rPr>
          <w:rFonts w:hint="eastAsia"/>
          <w:bCs/>
          <w:sz w:val="20"/>
        </w:rPr>
        <w:t>essential</w:t>
      </w:r>
      <w:r>
        <w:rPr>
          <w:bCs/>
          <w:sz w:val="20"/>
        </w:rPr>
        <w:t xml:space="preserve"> requirement for 6G. Techniques, e.g., extended SSB periodicity or on-demand SSB transmission, can be </w:t>
      </w:r>
      <w:r>
        <w:rPr>
          <w:rFonts w:hint="eastAsia"/>
          <w:bCs/>
          <w:sz w:val="20"/>
        </w:rPr>
        <w:t>investigated</w:t>
      </w:r>
      <w:r>
        <w:rPr>
          <w:bCs/>
          <w:sz w:val="20"/>
        </w:rPr>
        <w:t xml:space="preserve"> to achieve this target in different RRC states correspondingly. Meanwhile, trade-off to ensure the performance along with complexity </w:t>
      </w:r>
      <w:r>
        <w:rPr>
          <w:rFonts w:hint="eastAsia"/>
          <w:bCs/>
          <w:sz w:val="20"/>
        </w:rPr>
        <w:t xml:space="preserve">should </w:t>
      </w:r>
      <w:r>
        <w:rPr>
          <w:bCs/>
          <w:sz w:val="20"/>
        </w:rPr>
        <w:t>also be considered.</w:t>
      </w:r>
      <w:r>
        <w:rPr>
          <w:rFonts w:hint="eastAsia"/>
          <w:bCs/>
          <w:sz w:val="20"/>
        </w:rPr>
        <w:t xml:space="preserve"> </w:t>
      </w:r>
    </w:p>
    <w:p w:rsidR="001554A1" w:rsidRDefault="00FE1B65">
      <w:pPr>
        <w:spacing w:before="120" w:after="120"/>
        <w:rPr>
          <w:bCs/>
          <w:sz w:val="20"/>
        </w:rPr>
      </w:pPr>
      <w:r>
        <w:rPr>
          <w:bCs/>
          <w:sz w:val="20"/>
        </w:rPr>
        <w:lastRenderedPageBreak/>
        <w:t xml:space="preserve">Furthermore, the definition of time-frequency-domain structure of synchronization signals requires comprehensive </w:t>
      </w:r>
      <w:r>
        <w:rPr>
          <w:rFonts w:hint="eastAsia"/>
          <w:bCs/>
          <w:sz w:val="20"/>
        </w:rPr>
        <w:t xml:space="preserve">consideration </w:t>
      </w:r>
      <w:r>
        <w:rPr>
          <w:bCs/>
          <w:sz w:val="20"/>
        </w:rPr>
        <w:t xml:space="preserve">of multiple factors. With </w:t>
      </w:r>
      <w:r>
        <w:rPr>
          <w:sz w:val="20"/>
        </w:rPr>
        <w:t xml:space="preserve">prioritized eMBB service, </w:t>
      </w:r>
      <w:r>
        <w:rPr>
          <w:bCs/>
          <w:sz w:val="20"/>
        </w:rPr>
        <w:t xml:space="preserve">potential </w:t>
      </w:r>
      <w:r>
        <w:rPr>
          <w:rFonts w:hint="eastAsia"/>
          <w:bCs/>
          <w:sz w:val="20"/>
        </w:rPr>
        <w:t>adaptation</w:t>
      </w:r>
      <w:r>
        <w:rPr>
          <w:bCs/>
          <w:sz w:val="20"/>
        </w:rPr>
        <w:t xml:space="preserve"> to support narrowband operations, e.g., for some </w:t>
      </w:r>
      <w:r>
        <w:rPr>
          <w:rFonts w:hint="eastAsia"/>
          <w:bCs/>
          <w:sz w:val="20"/>
        </w:rPr>
        <w:t>specific</w:t>
      </w:r>
      <w:r>
        <w:rPr>
          <w:bCs/>
          <w:sz w:val="20"/>
        </w:rPr>
        <w:t xml:space="preserve"> spectrum allocations or devices with limited RF/baseband bandwidth capabilities</w:t>
      </w:r>
      <w:r w:rsidR="0037352F">
        <w:rPr>
          <w:bCs/>
          <w:sz w:val="20"/>
        </w:rPr>
        <w:t>,</w:t>
      </w:r>
      <w:r>
        <w:rPr>
          <w:bCs/>
          <w:sz w:val="20"/>
        </w:rPr>
        <w:t xml:space="preserve"> is also needed.</w:t>
      </w:r>
    </w:p>
    <w:p w:rsidR="001554A1" w:rsidRDefault="00FE1B65">
      <w:pPr>
        <w:spacing w:before="120" w:after="120"/>
        <w:rPr>
          <w:bCs/>
          <w:sz w:val="20"/>
        </w:rPr>
      </w:pPr>
      <w:r>
        <w:rPr>
          <w:bCs/>
          <w:sz w:val="20"/>
        </w:rPr>
        <w:t>Additionally, to support novel deployment scenarios during initial access phase, e.g., multi-carrier, cell-free/</w:t>
      </w:r>
      <w:r w:rsidR="00314765">
        <w:rPr>
          <w:bCs/>
          <w:sz w:val="20"/>
        </w:rPr>
        <w:t>m</w:t>
      </w:r>
      <w:r>
        <w:rPr>
          <w:bCs/>
          <w:sz w:val="20"/>
        </w:rPr>
        <w:t>TRP architectures with improved performance for data transmission and mobility, corresponding study should also be considered.</w:t>
      </w:r>
      <w:r>
        <w:rPr>
          <w:rFonts w:hint="eastAsia"/>
          <w:bCs/>
          <w:sz w:val="20"/>
        </w:rPr>
        <w:t xml:space="preserve"> </w:t>
      </w:r>
    </w:p>
    <w:p w:rsidR="001554A1" w:rsidRDefault="00FE1B65">
      <w:pPr>
        <w:spacing w:before="120" w:after="120"/>
        <w:rPr>
          <w:bCs/>
          <w:sz w:val="20"/>
        </w:rPr>
      </w:pPr>
      <w:r>
        <w:rPr>
          <w:b/>
          <w:sz w:val="20"/>
          <w:u w:val="single"/>
        </w:rPr>
        <w:t xml:space="preserve">Then, </w:t>
      </w:r>
      <w:r>
        <w:rPr>
          <w:bCs/>
          <w:sz w:val="20"/>
        </w:rPr>
        <w:t>for 6GR design, a scalable and forward-looking design is essential to accommodate all needs in 6G</w:t>
      </w:r>
      <w:r>
        <w:rPr>
          <w:rFonts w:hint="eastAsia"/>
          <w:bCs/>
          <w:sz w:val="20"/>
        </w:rPr>
        <w:t>R</w:t>
      </w:r>
      <w:r>
        <w:rPr>
          <w:bCs/>
          <w:sz w:val="20"/>
        </w:rPr>
        <w:t xml:space="preserve">. </w:t>
      </w:r>
    </w:p>
    <w:p w:rsidR="001554A1" w:rsidRDefault="00FE1B65">
      <w:pPr>
        <w:spacing w:before="120" w:after="120"/>
        <w:rPr>
          <w:bCs/>
          <w:i/>
          <w:sz w:val="20"/>
        </w:rPr>
      </w:pPr>
      <w:r>
        <w:rPr>
          <w:b/>
          <w:bCs/>
          <w:i/>
          <w:sz w:val="20"/>
        </w:rPr>
        <w:t>Observation 3:</w:t>
      </w:r>
      <w:r>
        <w:rPr>
          <w:bCs/>
          <w:i/>
          <w:sz w:val="20"/>
        </w:rPr>
        <w:t xml:space="preserve"> The identified needs (e.g., performance related, </w:t>
      </w:r>
      <w:r>
        <w:rPr>
          <w:rFonts w:hint="eastAsia"/>
          <w:bCs/>
          <w:i/>
          <w:sz w:val="20"/>
        </w:rPr>
        <w:t>compatibility</w:t>
      </w:r>
      <w:r>
        <w:rPr>
          <w:bCs/>
          <w:i/>
          <w:sz w:val="20"/>
        </w:rPr>
        <w:t xml:space="preserve"> to support various device/deployment) are </w:t>
      </w:r>
      <w:r>
        <w:rPr>
          <w:rFonts w:hint="eastAsia"/>
          <w:bCs/>
          <w:i/>
          <w:sz w:val="20"/>
        </w:rPr>
        <w:t>essential</w:t>
      </w:r>
      <w:r>
        <w:rPr>
          <w:bCs/>
          <w:i/>
          <w:sz w:val="20"/>
        </w:rPr>
        <w:t xml:space="preserve"> for </w:t>
      </w:r>
      <w:r>
        <w:rPr>
          <w:bCs/>
          <w:i/>
          <w:iCs/>
          <w:sz w:val="20"/>
        </w:rPr>
        <w:t>6G synchronization signal/channel design</w:t>
      </w:r>
      <w:r>
        <w:rPr>
          <w:bCs/>
          <w:i/>
          <w:sz w:val="20"/>
        </w:rPr>
        <w:t>.</w:t>
      </w:r>
    </w:p>
    <w:p w:rsidR="001554A1" w:rsidRDefault="00FE1B65">
      <w:pPr>
        <w:snapToGrid w:val="0"/>
        <w:spacing w:before="120" w:after="120"/>
        <w:rPr>
          <w:bCs/>
          <w:i/>
          <w:sz w:val="20"/>
        </w:rPr>
      </w:pPr>
      <w:r>
        <w:rPr>
          <w:b/>
          <w:bCs/>
          <w:i/>
          <w:sz w:val="20"/>
        </w:rPr>
        <w:t xml:space="preserve">Proposal 1: </w:t>
      </w:r>
      <w:r>
        <w:rPr>
          <w:bCs/>
          <w:i/>
          <w:sz w:val="20"/>
        </w:rPr>
        <w:t xml:space="preserve">The future-proof design for synchronization signal/channel should be considered to support various </w:t>
      </w:r>
      <w:r>
        <w:rPr>
          <w:rFonts w:hint="eastAsia"/>
          <w:bCs/>
          <w:i/>
          <w:sz w:val="20"/>
        </w:rPr>
        <w:t>functionalities</w:t>
      </w:r>
      <w:r>
        <w:rPr>
          <w:bCs/>
          <w:i/>
          <w:sz w:val="20"/>
        </w:rPr>
        <w:t xml:space="preserve"> and needs, e.g.,</w:t>
      </w:r>
      <w:r>
        <w:rPr>
          <w:rFonts w:hint="eastAsia"/>
          <w:bCs/>
          <w:i/>
          <w:sz w:val="20"/>
        </w:rPr>
        <w:t xml:space="preserve"> </w:t>
      </w:r>
    </w:p>
    <w:p w:rsidR="001554A1" w:rsidRDefault="00FE1B65">
      <w:pPr>
        <w:numPr>
          <w:ilvl w:val="0"/>
          <w:numId w:val="10"/>
        </w:numPr>
        <w:tabs>
          <w:tab w:val="clear" w:pos="840"/>
          <w:tab w:val="left" w:pos="420"/>
        </w:tabs>
        <w:spacing w:before="120" w:after="120"/>
        <w:ind w:left="0" w:firstLine="0"/>
        <w:rPr>
          <w:i/>
          <w:iCs/>
          <w:sz w:val="20"/>
        </w:rPr>
      </w:pPr>
      <w:r>
        <w:rPr>
          <w:rFonts w:hint="eastAsia"/>
          <w:i/>
          <w:iCs/>
          <w:sz w:val="20"/>
        </w:rPr>
        <w:t>Basic functionalitie</w:t>
      </w:r>
      <w:r>
        <w:rPr>
          <w:i/>
          <w:iCs/>
          <w:sz w:val="20"/>
        </w:rPr>
        <w:t xml:space="preserve">s (e.g., cell </w:t>
      </w:r>
      <w:r>
        <w:rPr>
          <w:rFonts w:hint="eastAsia"/>
          <w:i/>
          <w:iCs/>
          <w:sz w:val="20"/>
        </w:rPr>
        <w:t>identification</w:t>
      </w:r>
      <w:r>
        <w:rPr>
          <w:i/>
          <w:iCs/>
          <w:sz w:val="20"/>
        </w:rPr>
        <w:t xml:space="preserve">, initial synchronization, MIB </w:t>
      </w:r>
      <w:r>
        <w:rPr>
          <w:rFonts w:hint="eastAsia"/>
          <w:i/>
          <w:iCs/>
          <w:sz w:val="20"/>
        </w:rPr>
        <w:t>acquisition,</w:t>
      </w:r>
      <w:r>
        <w:rPr>
          <w:i/>
          <w:iCs/>
          <w:sz w:val="20"/>
        </w:rPr>
        <w:t xml:space="preserve"> </w:t>
      </w:r>
      <w:r>
        <w:rPr>
          <w:rFonts w:hint="eastAsia"/>
          <w:i/>
          <w:iCs/>
          <w:sz w:val="20"/>
        </w:rPr>
        <w:t>beam management</w:t>
      </w:r>
      <w:r>
        <w:rPr>
          <w:i/>
          <w:iCs/>
          <w:sz w:val="20"/>
        </w:rPr>
        <w:t xml:space="preserve"> &amp; mobility</w:t>
      </w:r>
      <w:r>
        <w:rPr>
          <w:rFonts w:hint="eastAsia"/>
          <w:i/>
          <w:iCs/>
          <w:sz w:val="20"/>
        </w:rPr>
        <w:t>, QCL source</w:t>
      </w:r>
      <w:r>
        <w:rPr>
          <w:i/>
          <w:iCs/>
          <w:sz w:val="20"/>
        </w:rPr>
        <w:t xml:space="preserve">) with balanced </w:t>
      </w:r>
      <w:r>
        <w:rPr>
          <w:rFonts w:hint="eastAsia"/>
          <w:i/>
          <w:iCs/>
          <w:sz w:val="20"/>
        </w:rPr>
        <w:t>performance</w:t>
      </w:r>
      <w:r>
        <w:rPr>
          <w:i/>
          <w:iCs/>
          <w:sz w:val="20"/>
        </w:rPr>
        <w:t xml:space="preserve"> </w:t>
      </w:r>
      <w:r w:rsidR="00AA5147">
        <w:rPr>
          <w:i/>
          <w:iCs/>
          <w:sz w:val="20"/>
        </w:rPr>
        <w:t xml:space="preserve">considering aspects </w:t>
      </w:r>
      <w:r>
        <w:rPr>
          <w:i/>
          <w:iCs/>
          <w:sz w:val="20"/>
        </w:rPr>
        <w:t xml:space="preserve">including, e.g., </w:t>
      </w:r>
    </w:p>
    <w:p w:rsidR="001554A1" w:rsidRDefault="00FE1B65">
      <w:pPr>
        <w:numPr>
          <w:ilvl w:val="0"/>
          <w:numId w:val="11"/>
        </w:numPr>
        <w:tabs>
          <w:tab w:val="clear" w:pos="840"/>
          <w:tab w:val="left" w:pos="420"/>
        </w:tabs>
        <w:spacing w:before="120" w:after="120"/>
        <w:ind w:left="840"/>
        <w:rPr>
          <w:i/>
          <w:iCs/>
          <w:sz w:val="20"/>
        </w:rPr>
      </w:pPr>
      <w:r>
        <w:rPr>
          <w:rFonts w:hint="eastAsia"/>
          <w:i/>
          <w:iCs/>
          <w:sz w:val="20"/>
        </w:rPr>
        <w:t xml:space="preserve">Coverage and capacity </w:t>
      </w:r>
    </w:p>
    <w:p w:rsidR="001554A1" w:rsidRDefault="00FE1B65">
      <w:pPr>
        <w:numPr>
          <w:ilvl w:val="0"/>
          <w:numId w:val="11"/>
        </w:numPr>
        <w:tabs>
          <w:tab w:val="clear" w:pos="840"/>
          <w:tab w:val="left" w:pos="420"/>
        </w:tabs>
        <w:spacing w:before="120" w:after="120"/>
        <w:ind w:left="840"/>
        <w:rPr>
          <w:i/>
          <w:iCs/>
          <w:sz w:val="20"/>
        </w:rPr>
      </w:pPr>
      <w:r>
        <w:rPr>
          <w:rFonts w:hint="eastAsia"/>
          <w:i/>
          <w:iCs/>
          <w:sz w:val="20"/>
        </w:rPr>
        <w:t>Energy efficiency for both network and UE</w:t>
      </w:r>
    </w:p>
    <w:p w:rsidR="001554A1" w:rsidRDefault="00FE1B65">
      <w:pPr>
        <w:numPr>
          <w:ilvl w:val="0"/>
          <w:numId w:val="11"/>
        </w:numPr>
        <w:tabs>
          <w:tab w:val="clear" w:pos="840"/>
          <w:tab w:val="left" w:pos="420"/>
        </w:tabs>
        <w:spacing w:before="120" w:after="120"/>
        <w:ind w:left="840"/>
        <w:rPr>
          <w:i/>
          <w:iCs/>
          <w:sz w:val="20"/>
        </w:rPr>
      </w:pPr>
      <w:r>
        <w:rPr>
          <w:rFonts w:hint="eastAsia"/>
          <w:i/>
          <w:iCs/>
          <w:sz w:val="20"/>
        </w:rPr>
        <w:t>Latency of initial cell search</w:t>
      </w:r>
    </w:p>
    <w:p w:rsidR="001554A1" w:rsidRDefault="00FE1B65">
      <w:pPr>
        <w:numPr>
          <w:ilvl w:val="0"/>
          <w:numId w:val="11"/>
        </w:numPr>
        <w:tabs>
          <w:tab w:val="clear" w:pos="840"/>
          <w:tab w:val="left" w:pos="420"/>
        </w:tabs>
        <w:spacing w:before="120" w:after="120"/>
        <w:ind w:left="840"/>
        <w:rPr>
          <w:i/>
          <w:iCs/>
          <w:sz w:val="20"/>
        </w:rPr>
      </w:pPr>
      <w:r>
        <w:rPr>
          <w:rFonts w:hint="eastAsia"/>
          <w:i/>
          <w:iCs/>
          <w:sz w:val="20"/>
        </w:rPr>
        <w:t>Complexity</w:t>
      </w:r>
    </w:p>
    <w:p w:rsidR="001554A1" w:rsidRDefault="00FE1B65">
      <w:pPr>
        <w:numPr>
          <w:ilvl w:val="0"/>
          <w:numId w:val="10"/>
        </w:numPr>
        <w:tabs>
          <w:tab w:val="clear" w:pos="840"/>
          <w:tab w:val="left" w:pos="420"/>
        </w:tabs>
        <w:spacing w:before="120" w:after="120"/>
        <w:ind w:left="0" w:firstLine="0"/>
        <w:rPr>
          <w:i/>
          <w:iCs/>
          <w:sz w:val="20"/>
        </w:rPr>
      </w:pPr>
      <w:r>
        <w:rPr>
          <w:rFonts w:hint="eastAsia"/>
          <w:i/>
          <w:iCs/>
          <w:sz w:val="20"/>
        </w:rPr>
        <w:t>Common design for diverse device types with eMBB as high priority</w:t>
      </w:r>
      <w:r>
        <w:rPr>
          <w:i/>
          <w:iCs/>
          <w:sz w:val="20"/>
        </w:rPr>
        <w:t xml:space="preserve"> and c</w:t>
      </w:r>
      <w:r>
        <w:rPr>
          <w:rFonts w:hint="eastAsia"/>
          <w:i/>
          <w:iCs/>
          <w:sz w:val="20"/>
        </w:rPr>
        <w:t>ompatibility for narrowband operation</w:t>
      </w:r>
      <w:r>
        <w:rPr>
          <w:i/>
          <w:iCs/>
          <w:sz w:val="20"/>
        </w:rPr>
        <w:t>.</w:t>
      </w:r>
    </w:p>
    <w:p w:rsidR="001554A1" w:rsidRDefault="00FE1B65">
      <w:pPr>
        <w:numPr>
          <w:ilvl w:val="0"/>
          <w:numId w:val="10"/>
        </w:numPr>
        <w:tabs>
          <w:tab w:val="clear" w:pos="840"/>
          <w:tab w:val="left" w:pos="420"/>
        </w:tabs>
        <w:spacing w:before="120" w:after="120"/>
        <w:ind w:left="0" w:firstLine="0"/>
        <w:rPr>
          <w:i/>
          <w:iCs/>
          <w:sz w:val="20"/>
        </w:rPr>
      </w:pPr>
      <w:r>
        <w:rPr>
          <w:rFonts w:hint="eastAsia"/>
          <w:i/>
          <w:iCs/>
          <w:sz w:val="20"/>
        </w:rPr>
        <w:t>Scalability for different deployment scenarios</w:t>
      </w:r>
      <w:r w:rsidR="00AA5147" w:rsidRPr="00AA5147">
        <w:rPr>
          <w:i/>
          <w:iCs/>
          <w:sz w:val="20"/>
        </w:rPr>
        <w:t xml:space="preserve"> </w:t>
      </w:r>
      <w:r w:rsidR="00AA5147">
        <w:rPr>
          <w:i/>
          <w:iCs/>
          <w:sz w:val="20"/>
        </w:rPr>
        <w:t>including cell-free/multi-TRP scenarios and NTN scenarios</w:t>
      </w:r>
    </w:p>
    <w:p w:rsidR="001554A1" w:rsidRDefault="00FE1B6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synchronization signal/channel design</w:t>
      </w:r>
    </w:p>
    <w:p w:rsidR="001554A1" w:rsidRDefault="00FE1B6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Consideration on basic structure of synchronization signal/channel</w:t>
      </w:r>
    </w:p>
    <w:p w:rsidR="001554A1" w:rsidRPr="00BE276F"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rFonts w:eastAsia="黑体"/>
          <w:b/>
          <w:kern w:val="0"/>
          <w:sz w:val="20"/>
          <w:szCs w:val="22"/>
        </w:rPr>
      </w:pPr>
      <w:r w:rsidRPr="00BE276F">
        <w:rPr>
          <w:b/>
          <w:sz w:val="20"/>
          <w:szCs w:val="22"/>
        </w:rPr>
        <w:t>Bandwidth for synchronization signal/channel</w:t>
      </w:r>
    </w:p>
    <w:p w:rsidR="001554A1" w:rsidRDefault="00FE1B65">
      <w:pPr>
        <w:spacing w:before="120" w:after="120"/>
        <w:rPr>
          <w:rFonts w:eastAsia="Batang"/>
          <w:sz w:val="20"/>
        </w:rPr>
      </w:pPr>
      <w:r>
        <w:rPr>
          <w:rFonts w:hint="eastAsia"/>
          <w:bCs/>
          <w:sz w:val="20"/>
        </w:rPr>
        <w:t xml:space="preserve">As agreed in RAN#110, </w:t>
      </w:r>
      <w:r>
        <w:rPr>
          <w:rFonts w:eastAsia="Batang"/>
          <w:sz w:val="20"/>
        </w:rPr>
        <w:t>6GR supports the operation (but not required to be optimized for performance) in a minimum spectrum allocation of 3MHz with a 15kHz SCS</w:t>
      </w:r>
      <w:r>
        <w:rPr>
          <w:rFonts w:eastAsia="Batang" w:hint="eastAsia"/>
          <w:sz w:val="20"/>
        </w:rPr>
        <w:t xml:space="preserve"> </w:t>
      </w:r>
      <w:r>
        <w:rPr>
          <w:rFonts w:eastAsia="Batang"/>
          <w:sz w:val="20"/>
        </w:rPr>
        <w:fldChar w:fldCharType="begin"/>
      </w:r>
      <w:r>
        <w:rPr>
          <w:rFonts w:eastAsia="Batang"/>
          <w:sz w:val="20"/>
        </w:rPr>
        <w:instrText xml:space="preserve"> </w:instrText>
      </w:r>
      <w:r>
        <w:rPr>
          <w:rFonts w:eastAsia="Batang" w:hint="eastAsia"/>
          <w:sz w:val="20"/>
        </w:rPr>
        <w:instrText>REF _Ref220157842 \r \h</w:instrText>
      </w:r>
      <w:r>
        <w:rPr>
          <w:rFonts w:eastAsia="Batang"/>
          <w:sz w:val="20"/>
        </w:rPr>
        <w:instrText xml:space="preserve"> </w:instrText>
      </w:r>
      <w:r>
        <w:rPr>
          <w:rFonts w:eastAsia="Batang"/>
          <w:sz w:val="20"/>
        </w:rPr>
      </w:r>
      <w:r>
        <w:rPr>
          <w:rFonts w:eastAsia="Batang"/>
          <w:sz w:val="20"/>
        </w:rPr>
        <w:fldChar w:fldCharType="separate"/>
      </w:r>
      <w:r>
        <w:rPr>
          <w:rFonts w:eastAsia="Batang"/>
          <w:sz w:val="20"/>
        </w:rPr>
        <w:t>[3]</w:t>
      </w:r>
      <w:r>
        <w:rPr>
          <w:rFonts w:eastAsia="Batang"/>
          <w:sz w:val="20"/>
        </w:rPr>
        <w:fldChar w:fldCharType="end"/>
      </w:r>
      <w:r>
        <w:rPr>
          <w:rFonts w:eastAsia="Batang" w:hint="eastAsia"/>
          <w:sz w:val="20"/>
        </w:rPr>
        <w:t xml:space="preserve">. And </w:t>
      </w:r>
      <w:r>
        <w:rPr>
          <w:rFonts w:eastAsia="Batang"/>
          <w:sz w:val="20"/>
        </w:rPr>
        <w:t xml:space="preserve">the following agreement made in RAN1#123 </w:t>
      </w:r>
      <w:r>
        <w:rPr>
          <w:rFonts w:eastAsia="Batang"/>
          <w:sz w:val="20"/>
        </w:rPr>
        <w:fldChar w:fldCharType="begin"/>
      </w:r>
      <w:r>
        <w:rPr>
          <w:rFonts w:eastAsia="Batang"/>
          <w:sz w:val="20"/>
        </w:rPr>
        <w:instrText xml:space="preserve"> REF _Ref220157849 \r \h </w:instrText>
      </w:r>
      <w:r>
        <w:rPr>
          <w:rFonts w:eastAsia="Batang"/>
          <w:sz w:val="20"/>
        </w:rPr>
      </w:r>
      <w:r>
        <w:rPr>
          <w:rFonts w:eastAsia="Batang"/>
          <w:sz w:val="20"/>
        </w:rPr>
        <w:fldChar w:fldCharType="separate"/>
      </w:r>
      <w:r>
        <w:rPr>
          <w:rFonts w:eastAsia="Batang"/>
          <w:sz w:val="20"/>
        </w:rPr>
        <w:t>[4]</w:t>
      </w:r>
      <w:r>
        <w:rPr>
          <w:rFonts w:eastAsia="Batang"/>
          <w:sz w:val="20"/>
        </w:rPr>
        <w:fldChar w:fldCharType="end"/>
      </w:r>
      <w:r>
        <w:rPr>
          <w:rFonts w:eastAsia="Batang" w:hint="eastAsia"/>
          <w:sz w:val="20"/>
        </w:rPr>
        <w:t xml:space="preserve"> </w:t>
      </w:r>
      <w:r>
        <w:rPr>
          <w:rFonts w:eastAsia="Batang"/>
          <w:sz w:val="20"/>
        </w:rPr>
        <w:t>still holds, with the clarification that the bandwidth in Opt 1 below is assumed to be at least 5MHz with a 15kHz SCS.</w:t>
      </w:r>
    </w:p>
    <w:tbl>
      <w:tblPr>
        <w:tblStyle w:val="af3"/>
        <w:tblW w:w="0" w:type="auto"/>
        <w:tblInd w:w="109" w:type="dxa"/>
        <w:tblLook w:val="04A0" w:firstRow="1" w:lastRow="0" w:firstColumn="1" w:lastColumn="0" w:noHBand="0" w:noVBand="1"/>
      </w:tblPr>
      <w:tblGrid>
        <w:gridCol w:w="9541"/>
      </w:tblGrid>
      <w:tr w:rsidR="001554A1">
        <w:tc>
          <w:tcPr>
            <w:tcW w:w="9660" w:type="dxa"/>
          </w:tcPr>
          <w:p w:rsidR="001554A1" w:rsidRDefault="00FE1B65">
            <w:pPr>
              <w:spacing w:before="120" w:after="120" w:line="240" w:lineRule="auto"/>
              <w:jc w:val="left"/>
              <w:rPr>
                <w:rFonts w:eastAsia="Times New Roman"/>
                <w:kern w:val="0"/>
                <w:sz w:val="20"/>
                <w:szCs w:val="24"/>
                <w:highlight w:val="green"/>
                <w:lang w:val="en-GB" w:eastAsia="en-US"/>
              </w:rPr>
            </w:pPr>
            <w:r>
              <w:rPr>
                <w:rFonts w:eastAsia="Times New Roman" w:hint="eastAsia"/>
                <w:kern w:val="0"/>
                <w:sz w:val="20"/>
                <w:szCs w:val="24"/>
                <w:highlight w:val="green"/>
                <w:lang w:val="en-GB" w:eastAsia="en-US"/>
              </w:rPr>
              <w:t>Agreement</w:t>
            </w:r>
            <w:r>
              <w:rPr>
                <w:rFonts w:eastAsia="Times New Roman"/>
                <w:kern w:val="0"/>
                <w:sz w:val="20"/>
                <w:szCs w:val="24"/>
                <w:highlight w:val="green"/>
                <w:lang w:val="en-GB" w:eastAsia="en-US"/>
              </w:rPr>
              <w:t xml:space="preserve"> </w:t>
            </w:r>
            <w:r>
              <w:rPr>
                <w:rFonts w:eastAsia="Times New Roman"/>
                <w:kern w:val="0"/>
                <w:sz w:val="20"/>
                <w:szCs w:val="24"/>
                <w:lang w:val="en-GB" w:eastAsia="en-US"/>
              </w:rPr>
              <w:t>@RAN1#123</w:t>
            </w:r>
          </w:p>
          <w:p w:rsidR="001554A1" w:rsidRDefault="00FE1B65">
            <w:pPr>
              <w:spacing w:before="120" w:after="120" w:line="240" w:lineRule="auto"/>
              <w:jc w:val="left"/>
              <w:rPr>
                <w:rFonts w:eastAsia="等线"/>
                <w:kern w:val="0"/>
                <w:sz w:val="20"/>
                <w:szCs w:val="24"/>
                <w:lang w:val="en-GB"/>
              </w:rPr>
            </w:pPr>
            <w:r>
              <w:rPr>
                <w:rFonts w:eastAsia="等线" w:hint="eastAsia"/>
                <w:kern w:val="0"/>
                <w:sz w:val="20"/>
                <w:szCs w:val="24"/>
                <w:lang w:val="en-GB"/>
              </w:rPr>
              <w:t>If the minimum</w:t>
            </w:r>
            <w:r>
              <w:rPr>
                <w:rFonts w:eastAsia="Times New Roman"/>
                <w:kern w:val="0"/>
                <w:sz w:val="20"/>
                <w:szCs w:val="24"/>
                <w:lang w:val="en-GB" w:eastAsia="en-US"/>
              </w:rPr>
              <w:t xml:space="preserve"> spectrum allocation</w:t>
            </w:r>
            <w:r>
              <w:rPr>
                <w:rFonts w:eastAsia="等线" w:hint="eastAsia"/>
                <w:kern w:val="0"/>
                <w:sz w:val="20"/>
                <w:szCs w:val="24"/>
                <w:lang w:val="en-GB"/>
              </w:rPr>
              <w:t xml:space="preserve"> is 3MHz with 15kHz SCS for 6GR,</w:t>
            </w:r>
          </w:p>
          <w:p w:rsidR="001554A1" w:rsidRDefault="00FE1B65">
            <w:pPr>
              <w:numPr>
                <w:ilvl w:val="0"/>
                <w:numId w:val="12"/>
              </w:numPr>
              <w:spacing w:before="120" w:after="120" w:line="240" w:lineRule="auto"/>
              <w:jc w:val="left"/>
              <w:rPr>
                <w:rFonts w:eastAsia="Times New Roman"/>
                <w:kern w:val="0"/>
                <w:sz w:val="20"/>
                <w:szCs w:val="24"/>
                <w:lang w:val="en-GB"/>
              </w:rPr>
            </w:pPr>
            <w:r>
              <w:rPr>
                <w:rFonts w:eastAsia="Times New Roman" w:hint="eastAsia"/>
                <w:kern w:val="0"/>
                <w:sz w:val="20"/>
                <w:szCs w:val="24"/>
                <w:lang w:val="en-GB" w:eastAsia="en-US"/>
              </w:rPr>
              <w:t>Opt1: D</w:t>
            </w:r>
            <w:r>
              <w:rPr>
                <w:rFonts w:eastAsia="Times New Roman"/>
                <w:kern w:val="0"/>
                <w:sz w:val="20"/>
                <w:szCs w:val="24"/>
                <w:lang w:val="en-GB"/>
              </w:rPr>
              <w:t>esign of the common signals/channels</w:t>
            </w:r>
            <w:r>
              <w:rPr>
                <w:rFonts w:eastAsia="等线" w:hint="eastAsia"/>
                <w:kern w:val="0"/>
                <w:sz w:val="20"/>
                <w:szCs w:val="24"/>
                <w:lang w:val="en-GB"/>
              </w:rPr>
              <w:t xml:space="preserve"> (at least for SSB)</w:t>
            </w:r>
            <w:r>
              <w:rPr>
                <w:rFonts w:eastAsia="Times New Roman"/>
                <w:kern w:val="0"/>
                <w:sz w:val="20"/>
                <w:szCs w:val="24"/>
                <w:lang w:val="en-GB"/>
              </w:rPr>
              <w:t xml:space="preserve"> for initial access by assuming</w:t>
            </w:r>
            <w:r>
              <w:rPr>
                <w:rFonts w:eastAsia="Times New Roman" w:hint="eastAsia"/>
                <w:kern w:val="0"/>
                <w:sz w:val="20"/>
                <w:szCs w:val="24"/>
                <w:lang w:val="en-GB" w:eastAsia="en-US"/>
              </w:rPr>
              <w:t xml:space="preserve"> </w:t>
            </w:r>
            <w:r>
              <w:rPr>
                <w:rFonts w:eastAsia="等线" w:hint="eastAsia"/>
                <w:kern w:val="0"/>
                <w:sz w:val="20"/>
                <w:szCs w:val="24"/>
                <w:lang w:val="en-GB"/>
              </w:rPr>
              <w:t>bandwidth</w:t>
            </w:r>
            <w:r>
              <w:rPr>
                <w:rFonts w:eastAsia="Times New Roman"/>
                <w:kern w:val="0"/>
                <w:sz w:val="20"/>
                <w:szCs w:val="24"/>
                <w:lang w:val="en-GB"/>
              </w:rPr>
              <w:t xml:space="preserve"> </w:t>
            </w:r>
            <w:r>
              <w:rPr>
                <w:rFonts w:eastAsia="Times New Roman" w:hint="eastAsia"/>
                <w:kern w:val="0"/>
                <w:sz w:val="20"/>
                <w:szCs w:val="24"/>
                <w:lang w:val="en-GB" w:eastAsia="en-US"/>
              </w:rPr>
              <w:t xml:space="preserve">larger than </w:t>
            </w:r>
            <w:r>
              <w:rPr>
                <w:rFonts w:eastAsia="等线" w:hint="eastAsia"/>
                <w:kern w:val="0"/>
                <w:sz w:val="20"/>
                <w:szCs w:val="24"/>
                <w:lang w:val="en-GB"/>
              </w:rPr>
              <w:t>3MHz</w:t>
            </w:r>
            <w:r>
              <w:rPr>
                <w:rFonts w:eastAsia="Times New Roman" w:hint="eastAsia"/>
                <w:kern w:val="0"/>
                <w:sz w:val="20"/>
                <w:szCs w:val="24"/>
                <w:lang w:val="en-GB" w:eastAsia="en-US"/>
              </w:rPr>
              <w:t>,</w:t>
            </w:r>
            <w:r>
              <w:rPr>
                <w:rFonts w:eastAsia="Times New Roman"/>
                <w:kern w:val="0"/>
                <w:sz w:val="20"/>
                <w:szCs w:val="24"/>
                <w:lang w:val="en-GB"/>
              </w:rPr>
              <w:t xml:space="preserve"> which is applicable to any spectrum allocations</w:t>
            </w:r>
            <w:r>
              <w:rPr>
                <w:rFonts w:eastAsia="等线" w:hint="eastAsia"/>
                <w:kern w:val="0"/>
                <w:sz w:val="20"/>
                <w:szCs w:val="24"/>
                <w:lang w:val="en-GB"/>
              </w:rPr>
              <w:t xml:space="preserve"> with adjustment, if applicable</w:t>
            </w:r>
          </w:p>
          <w:p w:rsidR="001554A1" w:rsidRDefault="00FE1B65">
            <w:pPr>
              <w:numPr>
                <w:ilvl w:val="0"/>
                <w:numId w:val="12"/>
              </w:numPr>
              <w:spacing w:before="120" w:after="120" w:line="240" w:lineRule="auto"/>
              <w:jc w:val="left"/>
              <w:rPr>
                <w:rFonts w:eastAsia="Times New Roman"/>
                <w:kern w:val="0"/>
                <w:sz w:val="20"/>
                <w:szCs w:val="24"/>
                <w:lang w:val="en-GB"/>
              </w:rPr>
            </w:pPr>
            <w:r>
              <w:rPr>
                <w:rFonts w:eastAsia="Times New Roman"/>
                <w:kern w:val="0"/>
                <w:sz w:val="20"/>
                <w:szCs w:val="24"/>
                <w:lang w:val="en-GB"/>
              </w:rPr>
              <w:t>Opt</w:t>
            </w:r>
            <w:r>
              <w:rPr>
                <w:rFonts w:eastAsia="Times New Roman" w:hint="eastAsia"/>
                <w:kern w:val="0"/>
                <w:sz w:val="20"/>
                <w:szCs w:val="24"/>
                <w:lang w:val="en-GB" w:eastAsia="en-US"/>
              </w:rPr>
              <w:t>2</w:t>
            </w:r>
            <w:r>
              <w:rPr>
                <w:rFonts w:eastAsia="Times New Roman"/>
                <w:kern w:val="0"/>
                <w:sz w:val="20"/>
                <w:szCs w:val="24"/>
                <w:lang w:val="en-GB"/>
              </w:rPr>
              <w:t>: A single design of the common signals/channels</w:t>
            </w:r>
            <w:r>
              <w:rPr>
                <w:rFonts w:eastAsia="等线" w:hint="eastAsia"/>
                <w:kern w:val="0"/>
                <w:sz w:val="20"/>
                <w:szCs w:val="24"/>
                <w:lang w:val="en-GB"/>
              </w:rPr>
              <w:t xml:space="preserve"> (at least for SSB)</w:t>
            </w:r>
            <w:r>
              <w:rPr>
                <w:rFonts w:eastAsia="Times New Roman"/>
                <w:kern w:val="0"/>
                <w:sz w:val="20"/>
                <w:szCs w:val="24"/>
                <w:lang w:val="en-GB"/>
              </w:rPr>
              <w:t xml:space="preserve"> for initial access by assuming minimum spectrum allocation as target bandwidth</w:t>
            </w:r>
            <w:r>
              <w:rPr>
                <w:rFonts w:eastAsia="等线" w:hint="eastAsia"/>
                <w:kern w:val="0"/>
                <w:sz w:val="20"/>
                <w:szCs w:val="24"/>
                <w:lang w:val="en-GB"/>
              </w:rPr>
              <w:t xml:space="preserve"> 3MHz</w:t>
            </w:r>
            <w:r>
              <w:rPr>
                <w:rFonts w:eastAsia="Times New Roman" w:hint="eastAsia"/>
                <w:kern w:val="0"/>
                <w:sz w:val="20"/>
                <w:szCs w:val="24"/>
                <w:lang w:val="en-GB" w:eastAsia="en-US"/>
              </w:rPr>
              <w:t>,</w:t>
            </w:r>
            <w:r>
              <w:rPr>
                <w:rFonts w:eastAsia="等线" w:hint="eastAsia"/>
                <w:kern w:val="0"/>
                <w:sz w:val="20"/>
                <w:szCs w:val="24"/>
                <w:lang w:val="en-GB"/>
              </w:rPr>
              <w:t xml:space="preserve"> </w:t>
            </w:r>
            <w:r>
              <w:rPr>
                <w:rFonts w:eastAsia="Times New Roman"/>
                <w:kern w:val="0"/>
                <w:sz w:val="20"/>
                <w:szCs w:val="24"/>
                <w:lang w:val="en-GB"/>
              </w:rPr>
              <w:t>which is applicable to any spectrum allocations</w:t>
            </w:r>
          </w:p>
        </w:tc>
      </w:tr>
    </w:tbl>
    <w:p w:rsidR="001554A1" w:rsidRDefault="00FE1B65">
      <w:pPr>
        <w:spacing w:beforeLines="100" w:before="240" w:after="120" w:line="260" w:lineRule="auto"/>
        <w:rPr>
          <w:bCs/>
          <w:sz w:val="20"/>
        </w:rPr>
      </w:pPr>
      <w:r>
        <w:rPr>
          <w:bCs/>
          <w:sz w:val="20"/>
        </w:rPr>
        <w:t xml:space="preserve">In our view, although </w:t>
      </w:r>
      <w:r>
        <w:rPr>
          <w:rFonts w:hint="eastAsia"/>
          <w:bCs/>
          <w:sz w:val="20"/>
        </w:rPr>
        <w:t xml:space="preserve">a single </w:t>
      </w:r>
      <w:r>
        <w:rPr>
          <w:bCs/>
          <w:sz w:val="20"/>
        </w:rPr>
        <w:t>design with smaller bandwidth, e.g., 3</w:t>
      </w:r>
      <w:r>
        <w:rPr>
          <w:rFonts w:hint="eastAsia"/>
          <w:bCs/>
          <w:sz w:val="20"/>
        </w:rPr>
        <w:t xml:space="preserve"> </w:t>
      </w:r>
      <w:r>
        <w:rPr>
          <w:bCs/>
          <w:sz w:val="20"/>
        </w:rPr>
        <w:t xml:space="preserve">MHz, </w:t>
      </w:r>
      <w:r>
        <w:rPr>
          <w:rFonts w:hint="eastAsia"/>
          <w:bCs/>
          <w:sz w:val="20"/>
        </w:rPr>
        <w:t xml:space="preserve">assumption </w:t>
      </w:r>
      <w:r>
        <w:rPr>
          <w:bCs/>
          <w:sz w:val="20"/>
        </w:rPr>
        <w:t xml:space="preserve">is more applicable for the deployment with limited frequency resource, </w:t>
      </w:r>
      <w:r>
        <w:rPr>
          <w:rFonts w:hint="eastAsia"/>
          <w:bCs/>
          <w:sz w:val="20"/>
        </w:rPr>
        <w:t xml:space="preserve">minimum spectrum allocation size of 3 MHz is not a typical deployment bandwidth. Further, </w:t>
      </w:r>
      <w:r>
        <w:rPr>
          <w:bCs/>
          <w:sz w:val="20"/>
        </w:rPr>
        <w:t>huge impacts on performance</w:t>
      </w:r>
      <w:r w:rsidR="004F2A99">
        <w:rPr>
          <w:bCs/>
          <w:sz w:val="20"/>
        </w:rPr>
        <w:t xml:space="preserve">, e.g., </w:t>
      </w:r>
      <w:r>
        <w:rPr>
          <w:rFonts w:hint="eastAsia"/>
          <w:bCs/>
          <w:sz w:val="20"/>
        </w:rPr>
        <w:t>capacity and coverage</w:t>
      </w:r>
      <w:r>
        <w:rPr>
          <w:bCs/>
          <w:sz w:val="20"/>
        </w:rPr>
        <w:t xml:space="preserve"> for more typical eMBB scenario with larger bandwidth</w:t>
      </w:r>
      <w:r w:rsidR="008744DA">
        <w:rPr>
          <w:bCs/>
          <w:sz w:val="20"/>
        </w:rPr>
        <w:t xml:space="preserve">, </w:t>
      </w:r>
      <w:r>
        <w:rPr>
          <w:bCs/>
          <w:sz w:val="20"/>
        </w:rPr>
        <w:t>is expected</w:t>
      </w:r>
      <w:r>
        <w:rPr>
          <w:rFonts w:hint="eastAsia"/>
          <w:bCs/>
          <w:sz w:val="20"/>
        </w:rPr>
        <w:t xml:space="preserve"> if the </w:t>
      </w:r>
      <w:r>
        <w:rPr>
          <w:rFonts w:eastAsia="Times New Roman"/>
          <w:kern w:val="0"/>
          <w:sz w:val="20"/>
          <w:szCs w:val="24"/>
          <w:lang w:val="en-GB"/>
        </w:rPr>
        <w:t>minimum spectrum allocation</w:t>
      </w:r>
      <w:r>
        <w:rPr>
          <w:rFonts w:hint="eastAsia"/>
          <w:kern w:val="0"/>
          <w:sz w:val="20"/>
          <w:szCs w:val="24"/>
        </w:rPr>
        <w:t xml:space="preserve"> of</w:t>
      </w:r>
      <w:r>
        <w:rPr>
          <w:rFonts w:eastAsia="Times New Roman"/>
          <w:kern w:val="0"/>
          <w:sz w:val="20"/>
          <w:szCs w:val="24"/>
          <w:lang w:val="en-GB"/>
        </w:rPr>
        <w:t xml:space="preserve"> </w:t>
      </w:r>
      <w:r>
        <w:rPr>
          <w:rFonts w:hint="eastAsia"/>
          <w:bCs/>
          <w:sz w:val="20"/>
        </w:rPr>
        <w:t>3 MHz is assumed for SSB design</w:t>
      </w:r>
      <w:r>
        <w:rPr>
          <w:bCs/>
          <w:sz w:val="20"/>
        </w:rPr>
        <w:t>. The</w:t>
      </w:r>
      <w:r>
        <w:rPr>
          <w:rFonts w:hint="eastAsia"/>
          <w:bCs/>
          <w:sz w:val="20"/>
        </w:rPr>
        <w:t>refore</w:t>
      </w:r>
      <w:r>
        <w:rPr>
          <w:bCs/>
          <w:sz w:val="20"/>
        </w:rPr>
        <w:t xml:space="preserve">, it’s recommended to take the minimal bandwidth of 5 MHz with 15 kHz SCS as the baseline. </w:t>
      </w:r>
    </w:p>
    <w:p w:rsidR="001554A1" w:rsidRDefault="00FE1B65">
      <w:pPr>
        <w:spacing w:before="120" w:after="120"/>
        <w:rPr>
          <w:sz w:val="20"/>
        </w:rPr>
      </w:pPr>
      <w:r>
        <w:rPr>
          <w:b/>
          <w:bCs/>
          <w:i/>
          <w:sz w:val="20"/>
        </w:rPr>
        <w:t>Observation 4:</w:t>
      </w:r>
      <w:r>
        <w:rPr>
          <w:bCs/>
          <w:i/>
          <w:iCs/>
          <w:sz w:val="20"/>
        </w:rPr>
        <w:t xml:space="preserve"> </w:t>
      </w:r>
      <w:r>
        <w:rPr>
          <w:rFonts w:hint="eastAsia"/>
          <w:i/>
          <w:iCs/>
          <w:sz w:val="20"/>
        </w:rPr>
        <w:t>The spectrum allocation size of 3 MHz is not a typical deployment bandwidth, using 3 MHz as the assumption for SSB design will significantly affect the coverage and capacity of eMBB with larger bandwidth.</w:t>
      </w:r>
    </w:p>
    <w:p w:rsidR="001554A1" w:rsidRDefault="00FE1B65">
      <w:pPr>
        <w:spacing w:before="120" w:after="120"/>
        <w:rPr>
          <w:sz w:val="20"/>
        </w:rPr>
      </w:pPr>
      <w:r>
        <w:rPr>
          <w:sz w:val="20"/>
        </w:rPr>
        <w:lastRenderedPageBreak/>
        <w:t xml:space="preserve">Additionally, to improve the performance of potential deployment with less 3 MHz bandwidth, if necessary, additional enhancement in section 3.2 can be considered. </w:t>
      </w:r>
    </w:p>
    <w:p w:rsidR="001554A1" w:rsidRDefault="00FE1B65">
      <w:pPr>
        <w:spacing w:before="120" w:after="120" w:line="240" w:lineRule="auto"/>
        <w:jc w:val="left"/>
        <w:rPr>
          <w:b/>
          <w:bCs/>
          <w:i/>
          <w:sz w:val="20"/>
        </w:rPr>
      </w:pPr>
      <w:r>
        <w:rPr>
          <w:b/>
          <w:bCs/>
          <w:i/>
          <w:sz w:val="20"/>
        </w:rPr>
        <w:t xml:space="preserve">Proposal </w:t>
      </w:r>
      <w:r>
        <w:rPr>
          <w:rFonts w:hint="eastAsia"/>
          <w:b/>
          <w:bCs/>
          <w:i/>
          <w:sz w:val="20"/>
        </w:rPr>
        <w:t>2</w:t>
      </w:r>
      <w:r>
        <w:rPr>
          <w:b/>
          <w:bCs/>
          <w:i/>
          <w:sz w:val="20"/>
        </w:rPr>
        <w:t>:</w:t>
      </w:r>
      <w:r>
        <w:rPr>
          <w:rFonts w:hint="eastAsia"/>
          <w:b/>
          <w:bCs/>
          <w:i/>
          <w:sz w:val="20"/>
        </w:rPr>
        <w:t xml:space="preserve"> </w:t>
      </w:r>
      <w:r>
        <w:rPr>
          <w:i/>
          <w:sz w:val="20"/>
        </w:rPr>
        <w:t>The following option should be considered for SSB design:</w:t>
      </w:r>
    </w:p>
    <w:p w:rsidR="001554A1" w:rsidRDefault="00FE1B65">
      <w:pPr>
        <w:numPr>
          <w:ilvl w:val="0"/>
          <w:numId w:val="13"/>
        </w:numPr>
        <w:spacing w:before="120" w:after="120"/>
        <w:rPr>
          <w:i/>
          <w:iCs/>
          <w:sz w:val="20"/>
        </w:rPr>
      </w:pPr>
      <w:r>
        <w:rPr>
          <w:rFonts w:hint="eastAsia"/>
          <w:i/>
          <w:iCs/>
          <w:sz w:val="20"/>
        </w:rPr>
        <w:t>Opt1: Design of the common signals/channels (at least for SSB) for initial access by assuming bandwidth larger than 3MHz, which is applicable to any spectrum allocations with adjustment, if applicable</w:t>
      </w:r>
    </w:p>
    <w:p w:rsidR="001554A1" w:rsidRPr="00C046E7"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rFonts w:eastAsia="黑体"/>
          <w:b/>
          <w:kern w:val="0"/>
          <w:sz w:val="22"/>
          <w:szCs w:val="22"/>
        </w:rPr>
      </w:pPr>
      <w:r w:rsidRPr="00C046E7">
        <w:rPr>
          <w:b/>
          <w:sz w:val="20"/>
        </w:rPr>
        <w:t>Periodicity for synchronization signal/channel</w:t>
      </w:r>
    </w:p>
    <w:p w:rsidR="001554A1" w:rsidRDefault="00FE1B65">
      <w:pPr>
        <w:spacing w:before="120" w:after="120"/>
        <w:rPr>
          <w:sz w:val="20"/>
        </w:rPr>
      </w:pPr>
      <w:r>
        <w:rPr>
          <w:sz w:val="20"/>
        </w:rPr>
        <w:t>As identified in 5G-A, larger SSB periodicity for both initial access and following measurement is beneficial to NES</w:t>
      </w:r>
      <w:r>
        <w:rPr>
          <w:rFonts w:hint="eastAsia"/>
          <w:sz w:val="20"/>
        </w:rPr>
        <w:t xml:space="preserve">. As the evaluation results presented in </w:t>
      </w:r>
      <w:r>
        <w:rPr>
          <w:sz w:val="20"/>
        </w:rPr>
        <w:fldChar w:fldCharType="begin"/>
      </w:r>
      <w:r>
        <w:rPr>
          <w:sz w:val="20"/>
        </w:rPr>
        <w:instrText xml:space="preserve"> </w:instrText>
      </w:r>
      <w:r>
        <w:rPr>
          <w:rFonts w:hint="eastAsia"/>
          <w:sz w:val="20"/>
        </w:rPr>
        <w:instrText>REF _Ref220157861 \r \h</w:instrText>
      </w:r>
      <w:r>
        <w:rPr>
          <w:sz w:val="20"/>
        </w:rPr>
        <w:instrText xml:space="preserve"> </w:instrText>
      </w:r>
      <w:r>
        <w:rPr>
          <w:sz w:val="20"/>
        </w:rPr>
      </w:r>
      <w:r>
        <w:rPr>
          <w:sz w:val="20"/>
        </w:rPr>
        <w:fldChar w:fldCharType="separate"/>
      </w:r>
      <w:r>
        <w:rPr>
          <w:sz w:val="20"/>
        </w:rPr>
        <w:t>[5]</w:t>
      </w:r>
      <w:r>
        <w:rPr>
          <w:sz w:val="20"/>
        </w:rPr>
        <w:fldChar w:fldCharType="end"/>
      </w:r>
      <w:r>
        <w:rPr>
          <w:sz w:val="20"/>
        </w:rPr>
        <w:t xml:space="preserve">, </w:t>
      </w:r>
      <w:r>
        <w:rPr>
          <w:rFonts w:hint="eastAsia"/>
          <w:sz w:val="20"/>
        </w:rPr>
        <w:t xml:space="preserve">with the network power model defined in 5G NR, the SSB, SIB1 and PRACH with a period of 160 ms can achieve an energy-saving gain of approximately 53.5% in empty load scenario and 32.9% energy saving gain in low load scenario, respectively. In addition, according to RAN1 observation </w:t>
      </w:r>
      <w:r>
        <w:rPr>
          <w:sz w:val="20"/>
        </w:rPr>
        <w:fldChar w:fldCharType="begin"/>
      </w:r>
      <w:r>
        <w:rPr>
          <w:sz w:val="20"/>
        </w:rPr>
        <w:instrText xml:space="preserve"> </w:instrText>
      </w:r>
      <w:r>
        <w:rPr>
          <w:rFonts w:hint="eastAsia"/>
          <w:sz w:val="20"/>
        </w:rPr>
        <w:instrText>REF _Ref220157872 \r \h</w:instrText>
      </w:r>
      <w:r>
        <w:rPr>
          <w:sz w:val="20"/>
        </w:rPr>
        <w:instrText xml:space="preserve"> </w:instrText>
      </w:r>
      <w:r>
        <w:rPr>
          <w:sz w:val="20"/>
        </w:rPr>
      </w:r>
      <w:r>
        <w:rPr>
          <w:sz w:val="20"/>
        </w:rPr>
        <w:fldChar w:fldCharType="separate"/>
      </w:r>
      <w:r>
        <w:rPr>
          <w:sz w:val="20"/>
        </w:rPr>
        <w:t>[6]</w:t>
      </w:r>
      <w:r>
        <w:rPr>
          <w:sz w:val="20"/>
        </w:rPr>
        <w:fldChar w:fldCharType="end"/>
      </w:r>
      <w:r>
        <w:rPr>
          <w:rFonts w:hint="eastAsia"/>
          <w:sz w:val="20"/>
        </w:rPr>
        <w:t xml:space="preserve">, a larger SSB periodicity can effectively enhance coverage ratio if beam hopping is applied under NR-NTN. </w:t>
      </w:r>
    </w:p>
    <w:tbl>
      <w:tblPr>
        <w:tblStyle w:val="af3"/>
        <w:tblW w:w="0" w:type="auto"/>
        <w:tblInd w:w="126" w:type="dxa"/>
        <w:tblLook w:val="04A0" w:firstRow="1" w:lastRow="0" w:firstColumn="1" w:lastColumn="0" w:noHBand="0" w:noVBand="1"/>
      </w:tblPr>
      <w:tblGrid>
        <w:gridCol w:w="9524"/>
      </w:tblGrid>
      <w:tr w:rsidR="001554A1">
        <w:tc>
          <w:tcPr>
            <w:tcW w:w="9660" w:type="dxa"/>
          </w:tcPr>
          <w:p w:rsidR="001554A1" w:rsidRDefault="00FE1B65">
            <w:pPr>
              <w:spacing w:before="120" w:after="120"/>
              <w:rPr>
                <w:bCs/>
                <w:sz w:val="20"/>
              </w:rPr>
            </w:pPr>
            <w:r>
              <w:rPr>
                <w:bCs/>
                <w:sz w:val="20"/>
              </w:rPr>
              <w:t>Observation@RAN1#117</w:t>
            </w:r>
          </w:p>
          <w:p w:rsidR="001554A1" w:rsidRDefault="00FE1B65">
            <w:pPr>
              <w:pStyle w:val="af9"/>
              <w:numPr>
                <w:ilvl w:val="255"/>
                <w:numId w:val="0"/>
              </w:numPr>
              <w:spacing w:beforeLines="50" w:before="120" w:after="120" w:line="260" w:lineRule="auto"/>
              <w:rPr>
                <w:rFonts w:eastAsia="等线"/>
                <w:iCs/>
                <w:sz w:val="20"/>
                <w:szCs w:val="20"/>
              </w:rPr>
            </w:pPr>
            <w:r>
              <w:rPr>
                <w:sz w:val="20"/>
                <w:szCs w:val="20"/>
              </w:rPr>
              <w:t xml:space="preserve">Based on the results of DL coverage </w:t>
            </w:r>
            <w:r>
              <w:rPr>
                <w:rFonts w:eastAsia="等线"/>
                <w:iCs/>
                <w:sz w:val="20"/>
                <w:szCs w:val="20"/>
              </w:rPr>
              <w:t xml:space="preserve">ratio </w:t>
            </w:r>
            <w:r>
              <w:rPr>
                <w:sz w:val="20"/>
                <w:szCs w:val="20"/>
              </w:rPr>
              <w:t>evaluation at system level collected from 7 sources</w:t>
            </w:r>
            <w:r>
              <w:rPr>
                <w:rFonts w:eastAsia="等线"/>
                <w:iCs/>
                <w:sz w:val="20"/>
                <w:szCs w:val="20"/>
              </w:rPr>
              <w:t xml:space="preserve"> for all the three LEO600km satellite parameter sets where the beam footprint diameter is 50 km:</w:t>
            </w:r>
          </w:p>
          <w:p w:rsidR="001554A1" w:rsidRDefault="00FE1B65">
            <w:pPr>
              <w:pStyle w:val="af9"/>
              <w:numPr>
                <w:ilvl w:val="0"/>
                <w:numId w:val="14"/>
              </w:numPr>
              <w:spacing w:beforeLines="50" w:before="120" w:after="120" w:line="260" w:lineRule="auto"/>
              <w:rPr>
                <w:sz w:val="20"/>
                <w:szCs w:val="20"/>
              </w:rPr>
            </w:pPr>
            <w:r>
              <w:rPr>
                <w:sz w:val="20"/>
                <w:szCs w:val="20"/>
              </w:rPr>
              <w:t>For Set 1-1/1-3, the coverage ratio can be improved from 10% to 100% if the SSB periodicity is increased from 20ms to 80ms and beam hopping is applied</w:t>
            </w:r>
          </w:p>
          <w:p w:rsidR="001554A1" w:rsidRDefault="00FE1B65">
            <w:pPr>
              <w:pStyle w:val="af9"/>
              <w:numPr>
                <w:ilvl w:val="0"/>
                <w:numId w:val="14"/>
              </w:numPr>
              <w:spacing w:beforeLines="50" w:before="120" w:after="120" w:line="260" w:lineRule="auto"/>
              <w:rPr>
                <w:sz w:val="20"/>
                <w:szCs w:val="20"/>
              </w:rPr>
            </w:pPr>
            <w:r>
              <w:rPr>
                <w:sz w:val="20"/>
                <w:szCs w:val="20"/>
              </w:rPr>
              <w:t>For Set 1-2, the coverage ratio can be improved from 1.5% to 96.8% if the SSB periodicity is increased from 20ms to 320ms and beam hopping is applied.</w:t>
            </w:r>
          </w:p>
          <w:p w:rsidR="001554A1" w:rsidRDefault="00FE1B65">
            <w:pPr>
              <w:pStyle w:val="af9"/>
              <w:numPr>
                <w:ilvl w:val="0"/>
                <w:numId w:val="14"/>
              </w:numPr>
              <w:spacing w:beforeLines="50" w:before="120" w:after="120" w:line="260" w:lineRule="auto"/>
              <w:rPr>
                <w:sz w:val="20"/>
                <w:szCs w:val="20"/>
              </w:rPr>
            </w:pPr>
            <w:r>
              <w:rPr>
                <w:sz w:val="20"/>
                <w:szCs w:val="20"/>
              </w:rPr>
              <w:t>Note: coverage ratio is N2+N3/ total beam footprints</w:t>
            </w:r>
          </w:p>
          <w:p w:rsidR="001554A1" w:rsidRDefault="00FE1B65">
            <w:pPr>
              <w:pStyle w:val="af9"/>
              <w:numPr>
                <w:ilvl w:val="0"/>
                <w:numId w:val="14"/>
              </w:numPr>
              <w:spacing w:beforeLines="50" w:before="120" w:after="120" w:line="260" w:lineRule="auto"/>
              <w:rPr>
                <w:sz w:val="20"/>
              </w:rPr>
            </w:pPr>
            <w:r>
              <w:rPr>
                <w:sz w:val="20"/>
                <w:szCs w:val="20"/>
              </w:rPr>
              <w:t>Note: the baseline assumes no beam hopping. TDM between SIB1 and SIB19 is assumed in those results, following current specs.</w:t>
            </w:r>
          </w:p>
        </w:tc>
      </w:tr>
    </w:tbl>
    <w:p w:rsidR="001554A1" w:rsidRDefault="00FE1B65">
      <w:pPr>
        <w:spacing w:before="120" w:after="120"/>
        <w:rPr>
          <w:sz w:val="20"/>
        </w:rPr>
      </w:pPr>
      <w:r>
        <w:rPr>
          <w:sz w:val="20"/>
        </w:rPr>
        <w:t xml:space="preserve">Additionally, </w:t>
      </w:r>
      <w:r>
        <w:rPr>
          <w:rFonts w:hint="eastAsia"/>
          <w:sz w:val="20"/>
        </w:rPr>
        <w:t xml:space="preserve">according to RAN1 observation </w:t>
      </w:r>
      <w:r>
        <w:rPr>
          <w:sz w:val="20"/>
        </w:rPr>
        <w:fldChar w:fldCharType="begin"/>
      </w:r>
      <w:r>
        <w:rPr>
          <w:sz w:val="20"/>
        </w:rPr>
        <w:instrText xml:space="preserve"> </w:instrText>
      </w:r>
      <w:r>
        <w:rPr>
          <w:rFonts w:hint="eastAsia"/>
          <w:sz w:val="20"/>
        </w:rPr>
        <w:instrText>REF _Ref220157882 \r \h</w:instrText>
      </w:r>
      <w:r>
        <w:rPr>
          <w:sz w:val="20"/>
        </w:rPr>
        <w:instrText xml:space="preserve"> </w:instrText>
      </w:r>
      <w:r>
        <w:rPr>
          <w:sz w:val="20"/>
        </w:rPr>
      </w:r>
      <w:r>
        <w:rPr>
          <w:sz w:val="20"/>
        </w:rPr>
        <w:fldChar w:fldCharType="separate"/>
      </w:r>
      <w:r>
        <w:rPr>
          <w:sz w:val="20"/>
        </w:rPr>
        <w:t>[7]</w:t>
      </w:r>
      <w:r>
        <w:rPr>
          <w:sz w:val="20"/>
        </w:rPr>
        <w:fldChar w:fldCharType="end"/>
      </w:r>
      <w:r>
        <w:rPr>
          <w:rFonts w:hint="eastAsia"/>
          <w:sz w:val="20"/>
        </w:rPr>
        <w:t xml:space="preserve">, </w:t>
      </w:r>
      <w:r>
        <w:rPr>
          <w:sz w:val="20"/>
        </w:rPr>
        <w:t xml:space="preserve">the overhead of the common channel (e.g., </w:t>
      </w:r>
      <w:r>
        <w:rPr>
          <w:rFonts w:hint="eastAsia"/>
          <w:sz w:val="20"/>
        </w:rPr>
        <w:t xml:space="preserve">SSB, </w:t>
      </w:r>
      <w:r>
        <w:rPr>
          <w:sz w:val="20"/>
        </w:rPr>
        <w:t>SIB1) can also be further reduced to improve overall resource utilization, especially when the supported number of candidate SSBs increases.</w:t>
      </w:r>
      <w:r>
        <w:rPr>
          <w:rFonts w:hint="eastAsia"/>
          <w:sz w:val="20"/>
        </w:rPr>
        <w:t xml:space="preserve"> </w:t>
      </w:r>
    </w:p>
    <w:tbl>
      <w:tblPr>
        <w:tblStyle w:val="af3"/>
        <w:tblW w:w="0" w:type="auto"/>
        <w:tblInd w:w="124" w:type="dxa"/>
        <w:tblLook w:val="04A0" w:firstRow="1" w:lastRow="0" w:firstColumn="1" w:lastColumn="0" w:noHBand="0" w:noVBand="1"/>
      </w:tblPr>
      <w:tblGrid>
        <w:gridCol w:w="9526"/>
      </w:tblGrid>
      <w:tr w:rsidR="001554A1">
        <w:tc>
          <w:tcPr>
            <w:tcW w:w="9660" w:type="dxa"/>
          </w:tcPr>
          <w:p w:rsidR="001554A1" w:rsidRDefault="00FE1B65">
            <w:pPr>
              <w:numPr>
                <w:ilvl w:val="255"/>
                <w:numId w:val="0"/>
              </w:numPr>
              <w:spacing w:before="120" w:after="120" w:line="260" w:lineRule="auto"/>
              <w:rPr>
                <w:bCs/>
                <w:sz w:val="20"/>
              </w:rPr>
            </w:pPr>
            <w:r>
              <w:rPr>
                <w:bCs/>
                <w:sz w:val="20"/>
              </w:rPr>
              <w:t>Observation</w:t>
            </w:r>
            <w:r>
              <w:rPr>
                <w:rFonts w:hint="eastAsia"/>
                <w:bCs/>
                <w:iCs/>
                <w:sz w:val="20"/>
              </w:rPr>
              <w:t>@RAN1#118</w:t>
            </w:r>
          </w:p>
          <w:p w:rsidR="001554A1" w:rsidRDefault="00FE1B65">
            <w:pPr>
              <w:numPr>
                <w:ilvl w:val="255"/>
                <w:numId w:val="0"/>
              </w:numPr>
              <w:spacing w:before="120" w:after="120" w:line="260" w:lineRule="auto"/>
              <w:rPr>
                <w:sz w:val="20"/>
              </w:rPr>
            </w:pPr>
            <w:r>
              <w:rPr>
                <w:sz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1554A1" w:rsidRDefault="00FE1B65">
            <w:pPr>
              <w:numPr>
                <w:ilvl w:val="0"/>
                <w:numId w:val="15"/>
              </w:numPr>
              <w:suppressAutoHyphens/>
              <w:spacing w:before="120" w:after="120" w:line="260" w:lineRule="auto"/>
              <w:rPr>
                <w:sz w:val="20"/>
              </w:rPr>
            </w:pPr>
            <w:r>
              <w:rPr>
                <w:sz w:val="20"/>
              </w:rPr>
              <w:t>With Set 1-1 FR1 and Set 1-3 FR1, the common messages (SSB, SIB1) overhead is around 40% assuming 5 MHz BW when SSB/SIB1 periodicity of 20ms is in use, this overhead ratio could be reduced to less than 14% when 160ms SSB/SIB1 periodicity is used.</w:t>
            </w:r>
          </w:p>
          <w:p w:rsidR="001554A1" w:rsidRDefault="00FE1B65">
            <w:pPr>
              <w:numPr>
                <w:ilvl w:val="0"/>
                <w:numId w:val="15"/>
              </w:numPr>
              <w:suppressAutoHyphens/>
              <w:spacing w:before="120" w:after="120" w:line="260" w:lineRule="auto"/>
              <w:rPr>
                <w:sz w:val="20"/>
              </w:rPr>
            </w:pPr>
            <w:r>
              <w:rPr>
                <w:sz w:val="20"/>
              </w:rPr>
              <w:t>With Set 1-2 FR1, the common message (SSB, SIB1) overhead is greater than 100% assuming 5 MHz BW when SSB/SIB1 periodicity of 20ms is in use, this overhead could be reduced to around 25.8% when 640ms SSB/SIB1 periodicity is used.</w:t>
            </w:r>
          </w:p>
          <w:p w:rsidR="001554A1" w:rsidRDefault="00FE1B65">
            <w:pPr>
              <w:numPr>
                <w:ilvl w:val="0"/>
                <w:numId w:val="15"/>
              </w:numPr>
              <w:suppressAutoHyphens/>
              <w:spacing w:before="120" w:after="120" w:line="260" w:lineRule="auto"/>
              <w:rPr>
                <w:sz w:val="20"/>
              </w:rPr>
            </w:pPr>
            <w:r>
              <w:rPr>
                <w:sz w:val="20"/>
              </w:rPr>
              <w:t>Note: the overhead of SIB19 was included in some of the results.</w:t>
            </w:r>
          </w:p>
          <w:p w:rsidR="001554A1" w:rsidRDefault="00FE1B65">
            <w:pPr>
              <w:numPr>
                <w:ilvl w:val="0"/>
                <w:numId w:val="15"/>
              </w:numPr>
              <w:spacing w:before="120" w:after="120" w:line="260" w:lineRule="auto"/>
              <w:rPr>
                <w:sz w:val="20"/>
              </w:rPr>
            </w:pPr>
            <w:r>
              <w:rPr>
                <w:sz w:val="20"/>
              </w:rPr>
              <w:t>Note: an observation when SSB/SIB1 periodicity is 320 ms will be discussed and added to the observation.</w:t>
            </w:r>
          </w:p>
        </w:tc>
      </w:tr>
    </w:tbl>
    <w:p w:rsidR="001554A1" w:rsidRDefault="00FE1B65">
      <w:pPr>
        <w:spacing w:before="120" w:after="120"/>
        <w:rPr>
          <w:sz w:val="20"/>
        </w:rPr>
      </w:pPr>
      <w:r>
        <w:rPr>
          <w:sz w:val="20"/>
        </w:rPr>
        <w:t xml:space="preserve">Therefore, in 6GR, extension of SSB periodicity compared to 5G NR is recommended as a basic assumption. </w:t>
      </w:r>
    </w:p>
    <w:p w:rsidR="001554A1" w:rsidRDefault="00FE1B65">
      <w:pPr>
        <w:spacing w:before="120" w:after="120"/>
        <w:rPr>
          <w:sz w:val="20"/>
        </w:rPr>
      </w:pPr>
      <w:r>
        <w:rPr>
          <w:sz w:val="20"/>
        </w:rPr>
        <w:t>Regarding the potential impacts, e.g., performance</w:t>
      </w:r>
      <w:r>
        <w:rPr>
          <w:rFonts w:hint="eastAsia"/>
          <w:sz w:val="20"/>
        </w:rPr>
        <w:t>/latency</w:t>
      </w:r>
      <w:r>
        <w:rPr>
          <w:sz w:val="20"/>
        </w:rPr>
        <w:t xml:space="preserve"> for SSB detection/measurement, UE complexity, additional consideration/enhancement can be taken into </w:t>
      </w:r>
      <w:r>
        <w:rPr>
          <w:rFonts w:hint="eastAsia"/>
          <w:sz w:val="20"/>
        </w:rPr>
        <w:t>account</w:t>
      </w:r>
      <w:r>
        <w:rPr>
          <w:sz w:val="20"/>
        </w:rPr>
        <w:t xml:space="preserve"> as listed in Section 3.2.</w:t>
      </w:r>
    </w:p>
    <w:p w:rsidR="001554A1" w:rsidRDefault="00FE1B65">
      <w:pPr>
        <w:snapToGrid w:val="0"/>
        <w:spacing w:before="120" w:after="120"/>
        <w:rPr>
          <w:i/>
          <w:iCs/>
          <w:sz w:val="20"/>
        </w:rPr>
      </w:pPr>
      <w:bookmarkStart w:id="2" w:name="_Hlk220162741"/>
      <w:r>
        <w:rPr>
          <w:b/>
          <w:bCs/>
          <w:i/>
          <w:sz w:val="20"/>
        </w:rPr>
        <w:t>Observation 5:</w:t>
      </w:r>
      <w:r>
        <w:rPr>
          <w:bCs/>
          <w:i/>
          <w:iCs/>
          <w:sz w:val="20"/>
        </w:rPr>
        <w:t xml:space="preserve"> </w:t>
      </w:r>
      <w:r>
        <w:rPr>
          <w:rFonts w:hint="eastAsia"/>
          <w:bCs/>
          <w:i/>
          <w:iCs/>
          <w:sz w:val="20"/>
        </w:rPr>
        <w:t>L</w:t>
      </w:r>
      <w:r>
        <w:rPr>
          <w:i/>
          <w:iCs/>
          <w:sz w:val="20"/>
        </w:rPr>
        <w:t xml:space="preserve">arger SSB periodicity for both initial access and following measurement is beneficial </w:t>
      </w:r>
      <w:r>
        <w:rPr>
          <w:rFonts w:hint="eastAsia"/>
          <w:i/>
          <w:iCs/>
          <w:sz w:val="20"/>
        </w:rPr>
        <w:t xml:space="preserve">for </w:t>
      </w:r>
      <w:r>
        <w:rPr>
          <w:i/>
          <w:iCs/>
          <w:sz w:val="20"/>
        </w:rPr>
        <w:t xml:space="preserve">NES, and provides </w:t>
      </w:r>
      <w:r>
        <w:rPr>
          <w:rFonts w:hint="eastAsia"/>
          <w:i/>
          <w:iCs/>
          <w:sz w:val="20"/>
        </w:rPr>
        <w:t>higher coverage ratio</w:t>
      </w:r>
      <w:r>
        <w:rPr>
          <w:i/>
          <w:iCs/>
          <w:sz w:val="20"/>
        </w:rPr>
        <w:t xml:space="preserve"> for beam hopping under NTN.</w:t>
      </w:r>
    </w:p>
    <w:p w:rsidR="001554A1" w:rsidRDefault="00FE1B65">
      <w:pPr>
        <w:snapToGrid w:val="0"/>
        <w:spacing w:before="120" w:after="120"/>
        <w:rPr>
          <w:i/>
          <w:iCs/>
          <w:sz w:val="20"/>
        </w:rPr>
      </w:pPr>
      <w:r>
        <w:rPr>
          <w:b/>
          <w:bCs/>
          <w:i/>
          <w:sz w:val="20"/>
        </w:rPr>
        <w:lastRenderedPageBreak/>
        <w:t>Observation 6:</w:t>
      </w:r>
      <w:r>
        <w:rPr>
          <w:bCs/>
          <w:i/>
          <w:iCs/>
          <w:sz w:val="20"/>
        </w:rPr>
        <w:t xml:space="preserve"> </w:t>
      </w:r>
      <w:r>
        <w:rPr>
          <w:rFonts w:hint="eastAsia"/>
          <w:bCs/>
          <w:i/>
          <w:iCs/>
          <w:sz w:val="20"/>
        </w:rPr>
        <w:t>L</w:t>
      </w:r>
      <w:r>
        <w:rPr>
          <w:i/>
          <w:iCs/>
          <w:sz w:val="20"/>
        </w:rPr>
        <w:t xml:space="preserve">arger SSB periodicity is beneficial </w:t>
      </w:r>
      <w:r>
        <w:rPr>
          <w:rFonts w:hint="eastAsia"/>
          <w:i/>
          <w:iCs/>
          <w:sz w:val="20"/>
        </w:rPr>
        <w:t xml:space="preserve">for </w:t>
      </w:r>
      <w:r>
        <w:rPr>
          <w:i/>
          <w:iCs/>
          <w:sz w:val="20"/>
        </w:rPr>
        <w:t xml:space="preserve">overhead </w:t>
      </w:r>
      <w:r>
        <w:rPr>
          <w:rFonts w:hint="eastAsia"/>
          <w:i/>
          <w:iCs/>
          <w:sz w:val="20"/>
        </w:rPr>
        <w:t xml:space="preserve">reduction </w:t>
      </w:r>
      <w:r>
        <w:rPr>
          <w:i/>
          <w:iCs/>
          <w:sz w:val="20"/>
        </w:rPr>
        <w:t>of the common channel</w:t>
      </w:r>
      <w:r>
        <w:rPr>
          <w:rFonts w:hint="eastAsia"/>
          <w:i/>
          <w:iCs/>
          <w:sz w:val="20"/>
        </w:rPr>
        <w:t>,</w:t>
      </w:r>
      <w:r>
        <w:rPr>
          <w:i/>
          <w:iCs/>
          <w:sz w:val="20"/>
        </w:rPr>
        <w:t xml:space="preserve"> e.g., SIB1</w:t>
      </w:r>
      <w:r>
        <w:rPr>
          <w:rFonts w:hint="eastAsia"/>
          <w:i/>
          <w:iCs/>
          <w:sz w:val="20"/>
        </w:rPr>
        <w:t>.</w:t>
      </w:r>
    </w:p>
    <w:p w:rsidR="001554A1" w:rsidRDefault="00FE1B65">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6G</w:t>
      </w:r>
      <w:r>
        <w:rPr>
          <w:rFonts w:hint="eastAsia"/>
          <w:bCs/>
          <w:i/>
          <w:sz w:val="20"/>
        </w:rPr>
        <w:t>R</w:t>
      </w:r>
      <w:r>
        <w:rPr>
          <w:bCs/>
          <w:i/>
          <w:sz w:val="20"/>
        </w:rPr>
        <w:t xml:space="preserve"> </w:t>
      </w:r>
      <w:r>
        <w:rPr>
          <w:rFonts w:hint="eastAsia"/>
          <w:bCs/>
          <w:i/>
          <w:sz w:val="20"/>
        </w:rPr>
        <w:t>supports a larger default SSB periodicity, e.g., 160 ms.</w:t>
      </w:r>
    </w:p>
    <w:bookmarkEnd w:id="2"/>
    <w:p w:rsidR="001554A1" w:rsidRPr="007401E3"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rFonts w:eastAsia="黑体"/>
          <w:b/>
          <w:kern w:val="0"/>
          <w:sz w:val="22"/>
          <w:szCs w:val="22"/>
        </w:rPr>
      </w:pPr>
      <w:r w:rsidRPr="007401E3">
        <w:rPr>
          <w:b/>
          <w:sz w:val="20"/>
        </w:rPr>
        <w:t>Capacity for synchronization signal/channel</w:t>
      </w:r>
    </w:p>
    <w:p w:rsidR="001554A1" w:rsidRDefault="00FE1B65">
      <w:pPr>
        <w:spacing w:before="120" w:after="120"/>
        <w:rPr>
          <w:sz w:val="20"/>
        </w:rPr>
      </w:pPr>
      <w:r>
        <w:rPr>
          <w:rFonts w:hint="eastAsia"/>
          <w:sz w:val="20"/>
        </w:rPr>
        <w:t xml:space="preserve">Traditionally, the increased number of SSBs is considered along with application of more advanced MIMO solutions and array size at BS side. For example, more SSBs are supported in FR2-1 compared to FR1 in 5G NR. For 6GR, a comparable coverage of 5G SSB at mid-band, e.g., 3.5/2.6 GHz, should be provided by 6GR SSB at new spectrum, e.g., U6GHz. According to the link budget analysis in </w:t>
      </w:r>
      <w:r>
        <w:rPr>
          <w:rFonts w:hint="eastAsia"/>
          <w:sz w:val="20"/>
          <w:szCs w:val="18"/>
        </w:rPr>
        <w:t xml:space="preserve">our companion contribution </w:t>
      </w:r>
      <w:r w:rsidR="00C046E7">
        <w:rPr>
          <w:sz w:val="20"/>
        </w:rPr>
        <w:fldChar w:fldCharType="begin"/>
      </w:r>
      <w:r w:rsidR="00C046E7">
        <w:rPr>
          <w:sz w:val="20"/>
          <w:szCs w:val="18"/>
        </w:rPr>
        <w:instrText xml:space="preserve"> </w:instrText>
      </w:r>
      <w:r w:rsidR="00C046E7">
        <w:rPr>
          <w:rFonts w:hint="eastAsia"/>
          <w:sz w:val="20"/>
          <w:szCs w:val="18"/>
        </w:rPr>
        <w:instrText>REF _Ref220668908 \r \h</w:instrText>
      </w:r>
      <w:r w:rsidR="00C046E7">
        <w:rPr>
          <w:sz w:val="20"/>
          <w:szCs w:val="18"/>
        </w:rPr>
        <w:instrText xml:space="preserve"> </w:instrText>
      </w:r>
      <w:r w:rsidR="00C046E7">
        <w:rPr>
          <w:sz w:val="20"/>
        </w:rPr>
      </w:r>
      <w:r w:rsidR="00C046E7">
        <w:rPr>
          <w:sz w:val="20"/>
        </w:rPr>
        <w:fldChar w:fldCharType="separate"/>
      </w:r>
      <w:r w:rsidR="00C046E7">
        <w:rPr>
          <w:sz w:val="20"/>
          <w:szCs w:val="18"/>
        </w:rPr>
        <w:t>[2]</w:t>
      </w:r>
      <w:r w:rsidR="00C046E7">
        <w:rPr>
          <w:sz w:val="20"/>
        </w:rPr>
        <w:fldChar w:fldCharType="end"/>
      </w:r>
      <w:r>
        <w:rPr>
          <w:rFonts w:hint="eastAsia"/>
          <w:sz w:val="20"/>
        </w:rPr>
        <w:t xml:space="preserve"> and shown in Table </w:t>
      </w:r>
      <w:r w:rsidR="00C40A4A">
        <w:rPr>
          <w:sz w:val="20"/>
        </w:rPr>
        <w:t>3.1-1</w:t>
      </w:r>
      <w:r>
        <w:rPr>
          <w:rFonts w:hint="eastAsia"/>
          <w:sz w:val="20"/>
        </w:rPr>
        <w:t xml:space="preserve">, significant losses were observed at 7 GHz. Increasing the capacity of SSB will become an effective way to improve coverage performance of 6GR SSB </w:t>
      </w:r>
      <w:r w:rsidR="00F372BF">
        <w:rPr>
          <w:rFonts w:hint="eastAsia"/>
          <w:sz w:val="20"/>
        </w:rPr>
        <w:t>while</w:t>
      </w:r>
      <w:r>
        <w:rPr>
          <w:rFonts w:hint="eastAsia"/>
          <w:sz w:val="20"/>
        </w:rPr>
        <w:t xml:space="preserve"> harvesting beamforming gain at base station side. </w:t>
      </w:r>
    </w:p>
    <w:p w:rsidR="001554A1" w:rsidRDefault="00FE1B65">
      <w:pPr>
        <w:spacing w:before="120" w:after="120"/>
        <w:jc w:val="center"/>
        <w:rPr>
          <w:sz w:val="20"/>
        </w:rPr>
      </w:pPr>
      <w:r>
        <w:rPr>
          <w:rFonts w:hint="eastAsia"/>
          <w:sz w:val="20"/>
        </w:rPr>
        <w:t xml:space="preserve">Table </w:t>
      </w:r>
      <w:r w:rsidR="00C40A4A">
        <w:rPr>
          <w:sz w:val="20"/>
        </w:rPr>
        <w:t>3.1-1</w:t>
      </w:r>
      <w:r>
        <w:rPr>
          <w:rFonts w:hint="eastAsia"/>
          <w:sz w:val="20"/>
        </w:rPr>
        <w:t>: Link budget of SSB reception</w:t>
      </w:r>
    </w:p>
    <w:tbl>
      <w:tblPr>
        <w:tblW w:w="575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1"/>
        <w:gridCol w:w="1020"/>
        <w:gridCol w:w="1928"/>
        <w:gridCol w:w="1518"/>
      </w:tblGrid>
      <w:tr w:rsidR="001554A1">
        <w:trPr>
          <w:trHeight w:val="454"/>
          <w:tblCellSpacing w:w="0" w:type="dxa"/>
          <w:jc w:val="center"/>
        </w:trPr>
        <w:tc>
          <w:tcPr>
            <w:tcW w:w="2311" w:type="dxa"/>
            <w:gridSpan w:val="2"/>
            <w:shd w:val="clear" w:color="auto" w:fill="FBD4B4" w:themeFill="accent6" w:themeFillTint="66"/>
            <w:vAlign w:val="center"/>
          </w:tcPr>
          <w:p w:rsidR="001554A1" w:rsidRDefault="00FE1B65">
            <w:pPr>
              <w:pStyle w:val="af0"/>
              <w:spacing w:before="120" w:after="120"/>
              <w:jc w:val="center"/>
              <w:rPr>
                <w:sz w:val="20"/>
              </w:rPr>
            </w:pPr>
            <w:r>
              <w:rPr>
                <w:color w:val="000000"/>
                <w:sz w:val="20"/>
              </w:rPr>
              <w:t>Total</w:t>
            </w:r>
            <w:r>
              <w:rPr>
                <w:rFonts w:hint="eastAsia"/>
                <w:color w:val="000000"/>
                <w:sz w:val="20"/>
              </w:rPr>
              <w:t xml:space="preserve"> </w:t>
            </w:r>
            <w:r>
              <w:rPr>
                <w:color w:val="000000"/>
                <w:sz w:val="20"/>
              </w:rPr>
              <w:t>gap</w:t>
            </w:r>
          </w:p>
        </w:tc>
        <w:tc>
          <w:tcPr>
            <w:tcW w:w="1928" w:type="dxa"/>
            <w:shd w:val="clear" w:color="auto" w:fill="FBD4B4" w:themeFill="accent6" w:themeFillTint="66"/>
            <w:vAlign w:val="center"/>
          </w:tcPr>
          <w:p w:rsidR="001554A1" w:rsidRDefault="00FE1B65">
            <w:pPr>
              <w:pStyle w:val="af0"/>
              <w:spacing w:before="120" w:after="120"/>
              <w:jc w:val="center"/>
              <w:rPr>
                <w:sz w:val="20"/>
              </w:rPr>
            </w:pPr>
            <w:r>
              <w:rPr>
                <w:color w:val="000000"/>
                <w:sz w:val="20"/>
              </w:rPr>
              <w:t>Penetration loss</w:t>
            </w:r>
          </w:p>
        </w:tc>
        <w:tc>
          <w:tcPr>
            <w:tcW w:w="1518" w:type="dxa"/>
            <w:shd w:val="clear" w:color="auto" w:fill="FBD4B4" w:themeFill="accent6" w:themeFillTint="66"/>
            <w:vAlign w:val="center"/>
          </w:tcPr>
          <w:p w:rsidR="001554A1" w:rsidRDefault="00FE1B65">
            <w:pPr>
              <w:pStyle w:val="af0"/>
              <w:spacing w:before="120" w:after="120"/>
              <w:jc w:val="center"/>
              <w:rPr>
                <w:sz w:val="20"/>
              </w:rPr>
            </w:pPr>
            <w:r>
              <w:rPr>
                <w:rFonts w:hint="eastAsia"/>
                <w:color w:val="000000"/>
                <w:sz w:val="20"/>
              </w:rPr>
              <w:t>P</w:t>
            </w:r>
            <w:r>
              <w:rPr>
                <w:color w:val="000000"/>
                <w:sz w:val="20"/>
              </w:rPr>
              <w:t>ath</w:t>
            </w:r>
            <w:r>
              <w:rPr>
                <w:rFonts w:hint="eastAsia"/>
                <w:color w:val="000000"/>
                <w:sz w:val="20"/>
              </w:rPr>
              <w:t xml:space="preserve"> </w:t>
            </w:r>
            <w:r>
              <w:rPr>
                <w:color w:val="000000"/>
                <w:sz w:val="20"/>
              </w:rPr>
              <w:t>loss</w:t>
            </w:r>
          </w:p>
        </w:tc>
      </w:tr>
      <w:tr w:rsidR="001554A1">
        <w:trPr>
          <w:trHeight w:val="454"/>
          <w:tblCellSpacing w:w="0" w:type="dxa"/>
          <w:jc w:val="center"/>
        </w:trPr>
        <w:tc>
          <w:tcPr>
            <w:tcW w:w="1291" w:type="dxa"/>
            <w:shd w:val="clear" w:color="auto" w:fill="auto"/>
            <w:vAlign w:val="center"/>
          </w:tcPr>
          <w:p w:rsidR="001554A1" w:rsidRDefault="00FE1B65">
            <w:pPr>
              <w:pStyle w:val="af0"/>
              <w:spacing w:before="120" w:after="120"/>
              <w:jc w:val="center"/>
              <w:rPr>
                <w:sz w:val="20"/>
              </w:rPr>
            </w:pPr>
            <w:r>
              <w:rPr>
                <w:color w:val="000000"/>
                <w:sz w:val="20"/>
              </w:rPr>
              <w:t>Gap to 3.5GHz</w:t>
            </w:r>
          </w:p>
        </w:tc>
        <w:tc>
          <w:tcPr>
            <w:tcW w:w="1020" w:type="dxa"/>
            <w:shd w:val="clear" w:color="auto" w:fill="auto"/>
            <w:vAlign w:val="center"/>
          </w:tcPr>
          <w:p w:rsidR="001554A1" w:rsidRDefault="00FE1B65">
            <w:pPr>
              <w:pStyle w:val="af0"/>
              <w:spacing w:before="120" w:after="120"/>
              <w:jc w:val="center"/>
              <w:rPr>
                <w:sz w:val="20"/>
              </w:rPr>
            </w:pPr>
            <w:r>
              <w:rPr>
                <w:color w:val="FF0000"/>
                <w:sz w:val="20"/>
              </w:rPr>
              <w:t>-10.53</w:t>
            </w:r>
          </w:p>
        </w:tc>
        <w:tc>
          <w:tcPr>
            <w:tcW w:w="1928" w:type="dxa"/>
            <w:shd w:val="clear" w:color="auto" w:fill="auto"/>
            <w:vAlign w:val="center"/>
          </w:tcPr>
          <w:p w:rsidR="001554A1" w:rsidRDefault="00FE1B65">
            <w:pPr>
              <w:pStyle w:val="af0"/>
              <w:spacing w:before="120" w:after="120"/>
              <w:jc w:val="center"/>
              <w:rPr>
                <w:sz w:val="20"/>
              </w:rPr>
            </w:pPr>
            <w:r>
              <w:rPr>
                <w:color w:val="000000"/>
                <w:sz w:val="20"/>
              </w:rPr>
              <w:t>-4.51</w:t>
            </w:r>
          </w:p>
        </w:tc>
        <w:tc>
          <w:tcPr>
            <w:tcW w:w="1518" w:type="dxa"/>
            <w:shd w:val="clear" w:color="auto" w:fill="auto"/>
            <w:vAlign w:val="center"/>
          </w:tcPr>
          <w:p w:rsidR="001554A1" w:rsidRDefault="00FE1B65">
            <w:pPr>
              <w:pStyle w:val="af0"/>
              <w:spacing w:before="120" w:after="120"/>
              <w:jc w:val="center"/>
              <w:rPr>
                <w:sz w:val="20"/>
              </w:rPr>
            </w:pPr>
            <w:r>
              <w:rPr>
                <w:color w:val="000000"/>
                <w:sz w:val="20"/>
              </w:rPr>
              <w:t>-6.02</w:t>
            </w:r>
          </w:p>
        </w:tc>
      </w:tr>
      <w:tr w:rsidR="001554A1">
        <w:trPr>
          <w:trHeight w:val="454"/>
          <w:tblCellSpacing w:w="0" w:type="dxa"/>
          <w:jc w:val="center"/>
        </w:trPr>
        <w:tc>
          <w:tcPr>
            <w:tcW w:w="1291" w:type="dxa"/>
            <w:shd w:val="clear" w:color="auto" w:fill="auto"/>
            <w:vAlign w:val="center"/>
          </w:tcPr>
          <w:p w:rsidR="001554A1" w:rsidRDefault="00FE1B65">
            <w:pPr>
              <w:pStyle w:val="af0"/>
              <w:spacing w:before="120" w:after="120"/>
              <w:jc w:val="center"/>
              <w:rPr>
                <w:sz w:val="20"/>
              </w:rPr>
            </w:pPr>
            <w:r>
              <w:rPr>
                <w:color w:val="000000"/>
                <w:sz w:val="20"/>
              </w:rPr>
              <w:t>Gap to 2.6GHz</w:t>
            </w:r>
          </w:p>
        </w:tc>
        <w:tc>
          <w:tcPr>
            <w:tcW w:w="1020" w:type="dxa"/>
            <w:shd w:val="clear" w:color="auto" w:fill="auto"/>
            <w:vAlign w:val="center"/>
          </w:tcPr>
          <w:p w:rsidR="001554A1" w:rsidRDefault="00FE1B65">
            <w:pPr>
              <w:pStyle w:val="af0"/>
              <w:spacing w:before="120" w:after="120"/>
              <w:jc w:val="center"/>
              <w:rPr>
                <w:sz w:val="20"/>
              </w:rPr>
            </w:pPr>
            <w:r>
              <w:rPr>
                <w:color w:val="FF0000"/>
                <w:sz w:val="20"/>
              </w:rPr>
              <w:t>-15.60</w:t>
            </w:r>
          </w:p>
        </w:tc>
        <w:tc>
          <w:tcPr>
            <w:tcW w:w="1928" w:type="dxa"/>
            <w:shd w:val="clear" w:color="auto" w:fill="auto"/>
            <w:vAlign w:val="center"/>
          </w:tcPr>
          <w:p w:rsidR="001554A1" w:rsidRDefault="00FE1B65">
            <w:pPr>
              <w:pStyle w:val="af0"/>
              <w:spacing w:before="120" w:after="120"/>
              <w:jc w:val="center"/>
              <w:rPr>
                <w:sz w:val="20"/>
              </w:rPr>
            </w:pPr>
            <w:r>
              <w:rPr>
                <w:color w:val="000000"/>
                <w:sz w:val="20"/>
              </w:rPr>
              <w:t>-7.00</w:t>
            </w:r>
          </w:p>
        </w:tc>
        <w:tc>
          <w:tcPr>
            <w:tcW w:w="1518" w:type="dxa"/>
            <w:shd w:val="clear" w:color="auto" w:fill="auto"/>
            <w:vAlign w:val="center"/>
          </w:tcPr>
          <w:p w:rsidR="001554A1" w:rsidRDefault="00FE1B65">
            <w:pPr>
              <w:pStyle w:val="af0"/>
              <w:spacing w:before="120" w:after="120"/>
              <w:jc w:val="center"/>
              <w:rPr>
                <w:sz w:val="20"/>
              </w:rPr>
            </w:pPr>
            <w:r>
              <w:rPr>
                <w:color w:val="000000"/>
                <w:sz w:val="20"/>
              </w:rPr>
              <w:t>-8.60</w:t>
            </w:r>
          </w:p>
        </w:tc>
      </w:tr>
    </w:tbl>
    <w:p w:rsidR="001554A1" w:rsidRDefault="00FE1B65">
      <w:pPr>
        <w:spacing w:before="120" w:after="120"/>
        <w:rPr>
          <w:sz w:val="20"/>
        </w:rPr>
      </w:pPr>
      <w:r>
        <w:rPr>
          <w:rFonts w:hint="eastAsia"/>
          <w:sz w:val="20"/>
        </w:rPr>
        <w:t xml:space="preserve">Additionally, for some scenarios, e.g., NTN, cell-free/mTRP as shown in Figure </w:t>
      </w:r>
      <w:r w:rsidR="00A32BA1">
        <w:rPr>
          <w:sz w:val="20"/>
        </w:rPr>
        <w:t>3.1-1</w:t>
      </w:r>
      <w:r>
        <w:rPr>
          <w:rFonts w:hint="eastAsia"/>
          <w:sz w:val="20"/>
        </w:rPr>
        <w:t>, the increase of</w:t>
      </w:r>
      <w:r w:rsidR="00277467">
        <w:rPr>
          <w:sz w:val="20"/>
        </w:rPr>
        <w:t xml:space="preserve"> </w:t>
      </w:r>
      <w:r>
        <w:rPr>
          <w:rFonts w:hint="eastAsia"/>
          <w:sz w:val="20"/>
        </w:rPr>
        <w:t xml:space="preserve">supported candidate SSBs will also improve deployment flexibility, e.g., beam hopping for NTN and TRP/AP level-awareness for cell-free. </w:t>
      </w:r>
    </w:p>
    <w:p w:rsidR="001554A1" w:rsidRDefault="00FE1B65">
      <w:pPr>
        <w:spacing w:before="120" w:after="120"/>
        <w:jc w:val="center"/>
      </w:pPr>
      <w:r>
        <w:rPr>
          <w:noProof/>
        </w:rPr>
        <w:drawing>
          <wp:inline distT="0" distB="0" distL="114300" distR="114300">
            <wp:extent cx="6132195" cy="1931670"/>
            <wp:effectExtent l="0" t="0" r="9525"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6132195" cy="1931670"/>
                    </a:xfrm>
                    <a:prstGeom prst="rect">
                      <a:avLst/>
                    </a:prstGeom>
                    <a:noFill/>
                    <a:ln>
                      <a:noFill/>
                    </a:ln>
                  </pic:spPr>
                </pic:pic>
              </a:graphicData>
            </a:graphic>
          </wp:inline>
        </w:drawing>
      </w:r>
    </w:p>
    <w:p w:rsidR="001554A1" w:rsidRDefault="00FE1B65">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sidR="00A32BA1">
        <w:rPr>
          <w:rFonts w:eastAsia="宋体"/>
          <w:sz w:val="20"/>
          <w:szCs w:val="20"/>
        </w:rPr>
        <w:t>3.1-1</w:t>
      </w:r>
      <w:r>
        <w:rPr>
          <w:rFonts w:eastAsia="宋体" w:hint="eastAsia"/>
          <w:sz w:val="20"/>
          <w:szCs w:val="20"/>
        </w:rPr>
        <w:t>: Illustration of scenarios with more required SSBs</w:t>
      </w:r>
    </w:p>
    <w:p w:rsidR="008F338F" w:rsidRDefault="008F338F" w:rsidP="008F338F">
      <w:pPr>
        <w:snapToGrid w:val="0"/>
        <w:spacing w:before="120" w:after="120"/>
        <w:rPr>
          <w:i/>
          <w:iCs/>
          <w:sz w:val="20"/>
        </w:rPr>
      </w:pPr>
      <w:r>
        <w:rPr>
          <w:b/>
          <w:bCs/>
          <w:i/>
          <w:sz w:val="20"/>
        </w:rPr>
        <w:t xml:space="preserve">Observation </w:t>
      </w:r>
      <w:r>
        <w:rPr>
          <w:rFonts w:hint="eastAsia"/>
          <w:b/>
          <w:bCs/>
          <w:i/>
          <w:sz w:val="20"/>
        </w:rPr>
        <w:t>7</w:t>
      </w:r>
      <w:r>
        <w:rPr>
          <w:b/>
          <w:bCs/>
          <w:i/>
          <w:sz w:val="20"/>
        </w:rPr>
        <w:t>:</w:t>
      </w:r>
      <w:r>
        <w:rPr>
          <w:bCs/>
          <w:i/>
          <w:iCs/>
          <w:sz w:val="20"/>
        </w:rPr>
        <w:t xml:space="preserve"> Supporting m</w:t>
      </w:r>
      <w:r>
        <w:rPr>
          <w:i/>
          <w:iCs/>
          <w:sz w:val="20"/>
        </w:rPr>
        <w:t xml:space="preserve">ore candidate SSBs is an effective way to improve coverage performance while harvesting beamforming gain at base station side, which is beneficial </w:t>
      </w:r>
      <w:r>
        <w:rPr>
          <w:rFonts w:hint="eastAsia"/>
          <w:i/>
          <w:iCs/>
          <w:sz w:val="20"/>
        </w:rPr>
        <w:t>t</w:t>
      </w:r>
      <w:r>
        <w:rPr>
          <w:i/>
          <w:iCs/>
          <w:sz w:val="20"/>
        </w:rPr>
        <w:t>o support deployments with various topologies.</w:t>
      </w:r>
      <w:r>
        <w:rPr>
          <w:rFonts w:hint="eastAsia"/>
          <w:i/>
          <w:iCs/>
          <w:sz w:val="20"/>
        </w:rPr>
        <w:t xml:space="preserve"> </w:t>
      </w:r>
    </w:p>
    <w:p w:rsidR="001554A1" w:rsidRDefault="00FE1B65">
      <w:pPr>
        <w:spacing w:before="120" w:after="120"/>
        <w:rPr>
          <w:sz w:val="20"/>
        </w:rPr>
      </w:pPr>
      <w:r>
        <w:rPr>
          <w:rFonts w:hint="eastAsia"/>
          <w:sz w:val="20"/>
        </w:rPr>
        <w:t>To achieve this, detailed solutions, e.g., TDMed</w:t>
      </w:r>
      <w:r>
        <w:rPr>
          <w:sz w:val="20"/>
        </w:rPr>
        <w:t xml:space="preserve">, </w:t>
      </w:r>
      <w:r>
        <w:rPr>
          <w:rFonts w:hint="eastAsia"/>
          <w:sz w:val="20"/>
        </w:rPr>
        <w:t>CDMed</w:t>
      </w:r>
      <w:r>
        <w:rPr>
          <w:sz w:val="20"/>
        </w:rPr>
        <w:t xml:space="preserve"> and </w:t>
      </w:r>
      <w:r>
        <w:rPr>
          <w:rFonts w:hint="eastAsia"/>
          <w:sz w:val="20"/>
        </w:rPr>
        <w:t>FDMed approaches</w:t>
      </w:r>
      <w:r>
        <w:rPr>
          <w:sz w:val="20"/>
        </w:rPr>
        <w:t>,</w:t>
      </w:r>
      <w:r>
        <w:rPr>
          <w:rFonts w:hint="eastAsia"/>
          <w:sz w:val="20"/>
        </w:rPr>
        <w:t xml:space="preserve"> can be </w:t>
      </w:r>
      <w:r>
        <w:rPr>
          <w:sz w:val="20"/>
        </w:rPr>
        <w:t xml:space="preserve">well </w:t>
      </w:r>
      <w:r>
        <w:rPr>
          <w:rFonts w:hint="eastAsia"/>
          <w:sz w:val="20"/>
        </w:rPr>
        <w:t xml:space="preserve">investigated. </w:t>
      </w:r>
      <w:r>
        <w:rPr>
          <w:sz w:val="20"/>
        </w:rPr>
        <w:t xml:space="preserve">For example, for the TDMed approach, the </w:t>
      </w:r>
      <w:r>
        <w:rPr>
          <w:rFonts w:hint="eastAsia"/>
          <w:sz w:val="20"/>
        </w:rPr>
        <w:t>overhead</w:t>
      </w:r>
      <w:r>
        <w:rPr>
          <w:sz w:val="20"/>
        </w:rPr>
        <w:t xml:space="preserve"> is expected to be </w:t>
      </w:r>
      <w:r>
        <w:rPr>
          <w:rFonts w:hint="eastAsia"/>
          <w:sz w:val="20"/>
        </w:rPr>
        <w:t>analyzed</w:t>
      </w:r>
      <w:r>
        <w:rPr>
          <w:sz w:val="20"/>
        </w:rPr>
        <w:t xml:space="preserve"> along with the larger </w:t>
      </w:r>
      <w:r>
        <w:rPr>
          <w:rFonts w:hint="eastAsia"/>
          <w:sz w:val="20"/>
        </w:rPr>
        <w:t>periodicity</w:t>
      </w:r>
      <w:r>
        <w:rPr>
          <w:sz w:val="20"/>
        </w:rPr>
        <w:t xml:space="preserve"> above. For example, by assuming a 4 symbol SSBs with SCS@30KH</w:t>
      </w:r>
      <w:r>
        <w:rPr>
          <w:rFonts w:hint="eastAsia"/>
          <w:sz w:val="20"/>
        </w:rPr>
        <w:t>z</w:t>
      </w:r>
      <w:r>
        <w:rPr>
          <w:sz w:val="20"/>
        </w:rPr>
        <w:t xml:space="preserve">, which is </w:t>
      </w:r>
      <w:r>
        <w:rPr>
          <w:rFonts w:hint="eastAsia"/>
          <w:sz w:val="20"/>
        </w:rPr>
        <w:t>agreed in RAN1#122bis</w:t>
      </w:r>
      <w:r>
        <w:rPr>
          <w:sz w:val="20"/>
        </w:rPr>
        <w:t xml:space="preserve"> as below:</w:t>
      </w:r>
    </w:p>
    <w:tbl>
      <w:tblPr>
        <w:tblStyle w:val="af3"/>
        <w:tblW w:w="0" w:type="auto"/>
        <w:tblInd w:w="96" w:type="dxa"/>
        <w:tblLook w:val="04A0" w:firstRow="1" w:lastRow="0" w:firstColumn="1" w:lastColumn="0" w:noHBand="0" w:noVBand="1"/>
      </w:tblPr>
      <w:tblGrid>
        <w:gridCol w:w="9554"/>
      </w:tblGrid>
      <w:tr w:rsidR="001554A1">
        <w:tc>
          <w:tcPr>
            <w:tcW w:w="9666" w:type="dxa"/>
          </w:tcPr>
          <w:p w:rsidR="001554A1" w:rsidRDefault="00FE1B65">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rsidR="001554A1" w:rsidRDefault="00FE1B65">
            <w:pPr>
              <w:pStyle w:val="af9"/>
              <w:numPr>
                <w:ilvl w:val="255"/>
                <w:numId w:val="0"/>
              </w:numPr>
              <w:spacing w:beforeLines="50" w:before="120" w:after="120" w:line="260" w:lineRule="auto"/>
              <w:rPr>
                <w:rFonts w:eastAsia="等线"/>
                <w:sz w:val="20"/>
                <w:szCs w:val="20"/>
              </w:rPr>
            </w:pPr>
            <w:r>
              <w:rPr>
                <w:rFonts w:eastAsia="等线" w:hint="eastAsia"/>
                <w:sz w:val="20"/>
                <w:szCs w:val="20"/>
              </w:rPr>
              <w:t>6GR study assumes same SCS between 6GR Sync signals and other</w:t>
            </w:r>
            <w:r>
              <w:rPr>
                <w:rFonts w:hint="eastAsia"/>
                <w:sz w:val="20"/>
                <w:szCs w:val="20"/>
              </w:rPr>
              <w:t xml:space="preserve"> channels/signals (except P</w:t>
            </w:r>
            <w:r>
              <w:rPr>
                <w:rFonts w:eastAsia="等线" w:hint="eastAsia"/>
                <w:sz w:val="20"/>
                <w:szCs w:val="20"/>
              </w:rPr>
              <w:t>RACH)</w:t>
            </w:r>
            <w:r>
              <w:rPr>
                <w:sz w:val="20"/>
                <w:szCs w:val="20"/>
              </w:rPr>
              <w:t xml:space="preserve"> </w:t>
            </w:r>
            <w:r>
              <w:rPr>
                <w:rFonts w:eastAsia="等线" w:hint="eastAsia"/>
                <w:sz w:val="20"/>
                <w:szCs w:val="20"/>
              </w:rPr>
              <w:t>for a given band</w:t>
            </w:r>
            <w:r>
              <w:rPr>
                <w:rFonts w:hint="eastAsia"/>
                <w:sz w:val="20"/>
                <w:szCs w:val="20"/>
              </w:rPr>
              <w:t xml:space="preserve">. </w:t>
            </w:r>
          </w:p>
          <w:p w:rsidR="001554A1" w:rsidRDefault="00FE1B65">
            <w:pPr>
              <w:pStyle w:val="af9"/>
              <w:numPr>
                <w:ilvl w:val="0"/>
                <w:numId w:val="16"/>
              </w:numPr>
              <w:spacing w:beforeLines="50" w:before="120" w:after="120" w:line="260" w:lineRule="auto"/>
              <w:ind w:leftChars="200" w:left="860"/>
              <w:rPr>
                <w:sz w:val="20"/>
                <w:szCs w:val="20"/>
              </w:rPr>
            </w:pPr>
            <w:r>
              <w:rPr>
                <w:rFonts w:eastAsia="等线" w:hint="eastAsia"/>
                <w:sz w:val="20"/>
                <w:szCs w:val="20"/>
              </w:rPr>
              <w:t xml:space="preserve">FFS: same/different SCS between </w:t>
            </w:r>
            <w:r>
              <w:rPr>
                <w:sz w:val="20"/>
                <w:szCs w:val="20"/>
              </w:rPr>
              <w:t>6GR sync signal</w:t>
            </w:r>
            <w:r>
              <w:rPr>
                <w:rFonts w:eastAsia="等线" w:hint="eastAsia"/>
                <w:sz w:val="20"/>
                <w:szCs w:val="20"/>
              </w:rPr>
              <w:t xml:space="preserve"> and other </w:t>
            </w:r>
            <w:r>
              <w:rPr>
                <w:rFonts w:hint="eastAsia"/>
                <w:sz w:val="20"/>
                <w:szCs w:val="20"/>
              </w:rPr>
              <w:t>channels/signals (except P</w:t>
            </w:r>
            <w:r>
              <w:rPr>
                <w:rFonts w:eastAsia="等线" w:hint="eastAsia"/>
                <w:sz w:val="20"/>
                <w:szCs w:val="20"/>
              </w:rPr>
              <w:t>RACH) for FR2-1</w:t>
            </w:r>
            <w:r>
              <w:rPr>
                <w:rFonts w:hint="eastAsia"/>
                <w:sz w:val="20"/>
                <w:szCs w:val="20"/>
              </w:rPr>
              <w:t>.</w:t>
            </w:r>
          </w:p>
          <w:p w:rsidR="001554A1" w:rsidRDefault="00FE1B65">
            <w:pPr>
              <w:pStyle w:val="af9"/>
              <w:numPr>
                <w:ilvl w:val="0"/>
                <w:numId w:val="16"/>
              </w:numPr>
              <w:spacing w:beforeLines="50" w:before="120" w:after="120" w:line="260" w:lineRule="auto"/>
              <w:ind w:leftChars="200" w:left="860"/>
              <w:rPr>
                <w:sz w:val="20"/>
                <w:szCs w:val="20"/>
              </w:rPr>
            </w:pPr>
            <w:r>
              <w:rPr>
                <w:rFonts w:eastAsia="等线" w:hint="eastAsia"/>
                <w:sz w:val="20"/>
                <w:szCs w:val="20"/>
              </w:rPr>
              <w:t>Note</w:t>
            </w:r>
            <w:r>
              <w:rPr>
                <w:rFonts w:hint="eastAsia"/>
                <w:sz w:val="20"/>
                <w:szCs w:val="20"/>
              </w:rPr>
              <w:t>:</w:t>
            </w:r>
            <w:r>
              <w:rPr>
                <w:rFonts w:eastAsia="等线" w:hint="eastAsia"/>
                <w:sz w:val="20"/>
                <w:szCs w:val="20"/>
              </w:rPr>
              <w:t xml:space="preserve"> ISAC is </w:t>
            </w:r>
            <w:r>
              <w:rPr>
                <w:rFonts w:eastAsia="等线"/>
                <w:sz w:val="20"/>
                <w:szCs w:val="20"/>
              </w:rPr>
              <w:t>separate</w:t>
            </w:r>
            <w:r>
              <w:rPr>
                <w:rFonts w:eastAsia="等线" w:hint="eastAsia"/>
                <w:sz w:val="20"/>
                <w:szCs w:val="20"/>
              </w:rPr>
              <w:t>ly discussed in ISAC session.</w:t>
            </w:r>
          </w:p>
          <w:p w:rsidR="001554A1" w:rsidRDefault="00FE1B65">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rsidR="001554A1" w:rsidRDefault="00FE1B65">
            <w:pPr>
              <w:pStyle w:val="af9"/>
              <w:numPr>
                <w:ilvl w:val="255"/>
                <w:numId w:val="0"/>
              </w:numPr>
              <w:spacing w:beforeLines="50" w:before="120" w:after="120" w:line="260" w:lineRule="auto"/>
              <w:rPr>
                <w:rFonts w:eastAsia="等线"/>
                <w:sz w:val="20"/>
                <w:szCs w:val="20"/>
              </w:rPr>
            </w:pPr>
            <w:r>
              <w:rPr>
                <w:rFonts w:eastAsia="等线"/>
                <w:sz w:val="20"/>
                <w:szCs w:val="20"/>
              </w:rPr>
              <w:t xml:space="preserve">RAN1 </w:t>
            </w:r>
            <w:r>
              <w:rPr>
                <w:rFonts w:eastAsia="等线" w:hint="eastAsia"/>
                <w:sz w:val="20"/>
                <w:szCs w:val="20"/>
              </w:rPr>
              <w:t xml:space="preserve">assumes 400MHz </w:t>
            </w:r>
            <w:r>
              <w:rPr>
                <w:rFonts w:eastAsia="等线"/>
                <w:sz w:val="20"/>
                <w:szCs w:val="20"/>
              </w:rPr>
              <w:t>maximum channel bandwidth</w:t>
            </w:r>
            <w:r>
              <w:rPr>
                <w:rFonts w:eastAsia="等线" w:hint="eastAsia"/>
                <w:sz w:val="20"/>
                <w:szCs w:val="20"/>
              </w:rPr>
              <w:t xml:space="preserve"> at network side and 30kHz SCS</w:t>
            </w:r>
            <w:r>
              <w:rPr>
                <w:rFonts w:eastAsia="等线"/>
                <w:sz w:val="20"/>
                <w:szCs w:val="20"/>
              </w:rPr>
              <w:t xml:space="preserve"> </w:t>
            </w:r>
            <w:r>
              <w:rPr>
                <w:rFonts w:eastAsia="等线" w:hint="eastAsia"/>
                <w:sz w:val="20"/>
                <w:szCs w:val="20"/>
              </w:rPr>
              <w:t>around 7GHz</w:t>
            </w:r>
            <w:r>
              <w:rPr>
                <w:rFonts w:eastAsia="等线"/>
                <w:sz w:val="20"/>
                <w:szCs w:val="20"/>
              </w:rPr>
              <w:t xml:space="preserve"> </w:t>
            </w:r>
          </w:p>
          <w:p w:rsidR="001554A1" w:rsidRDefault="00FE1B65">
            <w:pPr>
              <w:pStyle w:val="af9"/>
              <w:numPr>
                <w:ilvl w:val="0"/>
                <w:numId w:val="16"/>
              </w:numPr>
              <w:spacing w:beforeLines="50" w:before="120" w:after="120" w:line="260" w:lineRule="auto"/>
              <w:ind w:leftChars="200" w:left="860"/>
              <w:rPr>
                <w:i/>
                <w:iCs/>
                <w:sz w:val="20"/>
              </w:rPr>
            </w:pPr>
            <w:r>
              <w:rPr>
                <w:rFonts w:eastAsia="等线"/>
                <w:sz w:val="20"/>
                <w:szCs w:val="20"/>
              </w:rPr>
              <w:t>S</w:t>
            </w:r>
            <w:r>
              <w:rPr>
                <w:rFonts w:eastAsia="等线" w:hint="eastAsia"/>
                <w:sz w:val="20"/>
                <w:szCs w:val="20"/>
              </w:rPr>
              <w:t xml:space="preserve">tudy whether and how to enable UE to support 400MHz bandwidth </w:t>
            </w:r>
          </w:p>
        </w:tc>
      </w:tr>
    </w:tbl>
    <w:p w:rsidR="001554A1" w:rsidRDefault="00305A9D">
      <w:pPr>
        <w:snapToGrid w:val="0"/>
        <w:spacing w:before="120" w:after="120"/>
        <w:rPr>
          <w:sz w:val="20"/>
        </w:rPr>
      </w:pPr>
      <w:r>
        <w:rPr>
          <w:sz w:val="20"/>
        </w:rPr>
        <w:lastRenderedPageBreak/>
        <w:t>S</w:t>
      </w:r>
      <w:r w:rsidR="00FE1B65">
        <w:rPr>
          <w:sz w:val="20"/>
        </w:rPr>
        <w:t xml:space="preserve">imilar or even lower overhead can be achieved compared to </w:t>
      </w:r>
      <w:r w:rsidR="00FE1B65">
        <w:rPr>
          <w:rFonts w:hint="eastAsia"/>
          <w:sz w:val="20"/>
        </w:rPr>
        <w:t>5G design</w:t>
      </w:r>
      <w:r w:rsidR="00FE1B65">
        <w:rPr>
          <w:sz w:val="20"/>
        </w:rPr>
        <w:t xml:space="preserve"> as shown in Table </w:t>
      </w:r>
      <w:r w:rsidR="00247E5D">
        <w:rPr>
          <w:sz w:val="20"/>
        </w:rPr>
        <w:t>3.1-2</w:t>
      </w:r>
      <w:r w:rsidR="00FE1B65">
        <w:rPr>
          <w:rFonts w:hint="eastAsia"/>
          <w:sz w:val="20"/>
        </w:rPr>
        <w:t>.</w:t>
      </w:r>
    </w:p>
    <w:p w:rsidR="001554A1" w:rsidRDefault="00FE1B65">
      <w:pPr>
        <w:snapToGrid w:val="0"/>
        <w:spacing w:before="120" w:after="120"/>
        <w:jc w:val="center"/>
        <w:rPr>
          <w:sz w:val="20"/>
        </w:rPr>
      </w:pPr>
      <w:r>
        <w:rPr>
          <w:rFonts w:hint="eastAsia"/>
          <w:sz w:val="20"/>
        </w:rPr>
        <w:t xml:space="preserve">Table </w:t>
      </w:r>
      <w:r w:rsidR="00247E5D">
        <w:rPr>
          <w:sz w:val="20"/>
        </w:rPr>
        <w:t>3.1-2</w:t>
      </w:r>
      <w:r>
        <w:rPr>
          <w:rFonts w:hint="eastAsia"/>
          <w:sz w:val="20"/>
        </w:rPr>
        <w:t>: Comparison of time-domain overhead between 5G SSB and 6G sync signals</w:t>
      </w:r>
    </w:p>
    <w:tbl>
      <w:tblPr>
        <w:tblStyle w:val="af3"/>
        <w:tblW w:w="0" w:type="auto"/>
        <w:jc w:val="center"/>
        <w:tblLook w:val="04A0" w:firstRow="1" w:lastRow="0" w:firstColumn="1" w:lastColumn="0" w:noHBand="0" w:noVBand="1"/>
      </w:tblPr>
      <w:tblGrid>
        <w:gridCol w:w="1925"/>
        <w:gridCol w:w="1076"/>
        <w:gridCol w:w="1076"/>
        <w:gridCol w:w="1078"/>
        <w:gridCol w:w="2438"/>
      </w:tblGrid>
      <w:tr w:rsidR="001554A1">
        <w:trPr>
          <w:jc w:val="center"/>
        </w:trPr>
        <w:tc>
          <w:tcPr>
            <w:tcW w:w="1925" w:type="dxa"/>
            <w:shd w:val="clear" w:color="auto" w:fill="FBD4B4" w:themeFill="accent6" w:themeFillTint="66"/>
          </w:tcPr>
          <w:p w:rsidR="001554A1" w:rsidRDefault="001554A1">
            <w:pPr>
              <w:snapToGrid w:val="0"/>
              <w:spacing w:before="120" w:after="120"/>
              <w:jc w:val="center"/>
              <w:rPr>
                <w:sz w:val="20"/>
              </w:rPr>
            </w:pPr>
          </w:p>
        </w:tc>
        <w:tc>
          <w:tcPr>
            <w:tcW w:w="1076" w:type="dxa"/>
            <w:shd w:val="clear" w:color="auto" w:fill="FBD4B4" w:themeFill="accent6" w:themeFillTint="66"/>
          </w:tcPr>
          <w:p w:rsidR="001554A1" w:rsidRDefault="00FE1B65">
            <w:pPr>
              <w:snapToGrid w:val="0"/>
              <w:spacing w:before="120" w:after="120"/>
              <w:jc w:val="center"/>
              <w:rPr>
                <w:sz w:val="20"/>
              </w:rPr>
            </w:pPr>
            <w:r>
              <w:rPr>
                <w:rFonts w:hint="eastAsia"/>
                <w:sz w:val="20"/>
              </w:rPr>
              <w:t>Number</w:t>
            </w:r>
          </w:p>
        </w:tc>
        <w:tc>
          <w:tcPr>
            <w:tcW w:w="1076" w:type="dxa"/>
            <w:shd w:val="clear" w:color="auto" w:fill="FBD4B4" w:themeFill="accent6" w:themeFillTint="66"/>
          </w:tcPr>
          <w:p w:rsidR="001554A1" w:rsidRDefault="00FE1B65">
            <w:pPr>
              <w:snapToGrid w:val="0"/>
              <w:spacing w:before="120" w:after="120"/>
              <w:jc w:val="center"/>
              <w:rPr>
                <w:sz w:val="20"/>
              </w:rPr>
            </w:pPr>
            <w:r>
              <w:rPr>
                <w:rFonts w:hint="eastAsia"/>
                <w:sz w:val="20"/>
              </w:rPr>
              <w:t>SCS</w:t>
            </w:r>
          </w:p>
        </w:tc>
        <w:tc>
          <w:tcPr>
            <w:tcW w:w="1078" w:type="dxa"/>
            <w:shd w:val="clear" w:color="auto" w:fill="FBD4B4" w:themeFill="accent6" w:themeFillTint="66"/>
          </w:tcPr>
          <w:p w:rsidR="001554A1" w:rsidRDefault="00FE1B65">
            <w:pPr>
              <w:snapToGrid w:val="0"/>
              <w:spacing w:before="120" w:after="120"/>
              <w:jc w:val="center"/>
              <w:rPr>
                <w:sz w:val="20"/>
              </w:rPr>
            </w:pPr>
            <w:r>
              <w:rPr>
                <w:rFonts w:hint="eastAsia"/>
                <w:sz w:val="20"/>
              </w:rPr>
              <w:t>Period</w:t>
            </w:r>
          </w:p>
        </w:tc>
        <w:tc>
          <w:tcPr>
            <w:tcW w:w="2438" w:type="dxa"/>
            <w:shd w:val="clear" w:color="auto" w:fill="FBD4B4" w:themeFill="accent6" w:themeFillTint="66"/>
          </w:tcPr>
          <w:p w:rsidR="001554A1" w:rsidRDefault="00FE1B65">
            <w:pPr>
              <w:snapToGrid w:val="0"/>
              <w:spacing w:before="120" w:after="120"/>
              <w:jc w:val="center"/>
              <w:rPr>
                <w:sz w:val="20"/>
              </w:rPr>
            </w:pPr>
            <w:r>
              <w:rPr>
                <w:rFonts w:hint="eastAsia"/>
                <w:sz w:val="20"/>
              </w:rPr>
              <w:t>Slot ratio occupied by SSB</w:t>
            </w:r>
          </w:p>
        </w:tc>
      </w:tr>
      <w:tr w:rsidR="001554A1">
        <w:trPr>
          <w:jc w:val="center"/>
        </w:trPr>
        <w:tc>
          <w:tcPr>
            <w:tcW w:w="1925" w:type="dxa"/>
          </w:tcPr>
          <w:p w:rsidR="001554A1" w:rsidRDefault="00FE1B65">
            <w:pPr>
              <w:snapToGrid w:val="0"/>
              <w:spacing w:before="120" w:after="120"/>
              <w:jc w:val="center"/>
              <w:rPr>
                <w:sz w:val="20"/>
              </w:rPr>
            </w:pPr>
            <w:r>
              <w:rPr>
                <w:rFonts w:hint="eastAsia"/>
                <w:sz w:val="20"/>
              </w:rPr>
              <w:t>5G SSB at 700 MHz</w:t>
            </w:r>
          </w:p>
        </w:tc>
        <w:tc>
          <w:tcPr>
            <w:tcW w:w="1076" w:type="dxa"/>
          </w:tcPr>
          <w:p w:rsidR="001554A1" w:rsidRDefault="00FE1B65">
            <w:pPr>
              <w:snapToGrid w:val="0"/>
              <w:spacing w:before="120" w:after="120"/>
              <w:jc w:val="center"/>
              <w:rPr>
                <w:sz w:val="20"/>
              </w:rPr>
            </w:pPr>
            <w:r>
              <w:rPr>
                <w:rFonts w:hint="eastAsia"/>
                <w:sz w:val="20"/>
              </w:rPr>
              <w:t>4</w:t>
            </w:r>
          </w:p>
        </w:tc>
        <w:tc>
          <w:tcPr>
            <w:tcW w:w="1076" w:type="dxa"/>
          </w:tcPr>
          <w:p w:rsidR="001554A1" w:rsidRDefault="00FE1B65">
            <w:pPr>
              <w:snapToGrid w:val="0"/>
              <w:spacing w:before="120" w:after="120"/>
              <w:jc w:val="center"/>
              <w:rPr>
                <w:sz w:val="20"/>
              </w:rPr>
            </w:pPr>
            <w:r>
              <w:rPr>
                <w:rFonts w:hint="eastAsia"/>
                <w:sz w:val="20"/>
              </w:rPr>
              <w:t>15kHz</w:t>
            </w:r>
          </w:p>
        </w:tc>
        <w:tc>
          <w:tcPr>
            <w:tcW w:w="1078" w:type="dxa"/>
          </w:tcPr>
          <w:p w:rsidR="001554A1" w:rsidRDefault="00FE1B65">
            <w:pPr>
              <w:snapToGrid w:val="0"/>
              <w:spacing w:before="120" w:after="120"/>
              <w:jc w:val="center"/>
              <w:rPr>
                <w:sz w:val="20"/>
              </w:rPr>
            </w:pPr>
            <w:r>
              <w:rPr>
                <w:rFonts w:hint="eastAsia"/>
                <w:sz w:val="20"/>
              </w:rPr>
              <w:t>20 ms</w:t>
            </w:r>
          </w:p>
        </w:tc>
        <w:tc>
          <w:tcPr>
            <w:tcW w:w="2438" w:type="dxa"/>
          </w:tcPr>
          <w:p w:rsidR="001554A1" w:rsidRDefault="00FE1B65">
            <w:pPr>
              <w:snapToGrid w:val="0"/>
              <w:spacing w:before="120" w:after="120"/>
              <w:jc w:val="center"/>
              <w:rPr>
                <w:sz w:val="20"/>
              </w:rPr>
            </w:pPr>
            <w:r>
              <w:rPr>
                <w:rFonts w:hint="eastAsia"/>
                <w:sz w:val="20"/>
              </w:rPr>
              <w:t>10%</w:t>
            </w:r>
          </w:p>
        </w:tc>
      </w:tr>
      <w:tr w:rsidR="001554A1">
        <w:trPr>
          <w:jc w:val="center"/>
        </w:trPr>
        <w:tc>
          <w:tcPr>
            <w:tcW w:w="1925" w:type="dxa"/>
          </w:tcPr>
          <w:p w:rsidR="001554A1" w:rsidRDefault="00FE1B65">
            <w:pPr>
              <w:snapToGrid w:val="0"/>
              <w:spacing w:before="120" w:after="120"/>
              <w:jc w:val="center"/>
              <w:rPr>
                <w:sz w:val="20"/>
              </w:rPr>
            </w:pPr>
            <w:r>
              <w:rPr>
                <w:rFonts w:hint="eastAsia"/>
                <w:sz w:val="20"/>
              </w:rPr>
              <w:t>5G SSB at 3.5 GHz</w:t>
            </w:r>
          </w:p>
        </w:tc>
        <w:tc>
          <w:tcPr>
            <w:tcW w:w="1076" w:type="dxa"/>
          </w:tcPr>
          <w:p w:rsidR="001554A1" w:rsidRDefault="00FE1B65">
            <w:pPr>
              <w:snapToGrid w:val="0"/>
              <w:spacing w:before="120" w:after="120"/>
              <w:jc w:val="center"/>
              <w:rPr>
                <w:sz w:val="20"/>
              </w:rPr>
            </w:pPr>
            <w:r>
              <w:rPr>
                <w:rFonts w:hint="eastAsia"/>
                <w:sz w:val="20"/>
              </w:rPr>
              <w:t>8</w:t>
            </w:r>
          </w:p>
        </w:tc>
        <w:tc>
          <w:tcPr>
            <w:tcW w:w="1076" w:type="dxa"/>
          </w:tcPr>
          <w:p w:rsidR="001554A1" w:rsidRDefault="00FE1B65">
            <w:pPr>
              <w:snapToGrid w:val="0"/>
              <w:spacing w:before="120" w:after="120"/>
              <w:jc w:val="center"/>
              <w:rPr>
                <w:sz w:val="20"/>
              </w:rPr>
            </w:pPr>
            <w:r>
              <w:rPr>
                <w:rFonts w:hint="eastAsia"/>
                <w:sz w:val="20"/>
              </w:rPr>
              <w:t>30kHz</w:t>
            </w:r>
          </w:p>
        </w:tc>
        <w:tc>
          <w:tcPr>
            <w:tcW w:w="1078" w:type="dxa"/>
          </w:tcPr>
          <w:p w:rsidR="001554A1" w:rsidRDefault="00FE1B65">
            <w:pPr>
              <w:snapToGrid w:val="0"/>
              <w:spacing w:before="120" w:after="120"/>
              <w:jc w:val="center"/>
              <w:rPr>
                <w:sz w:val="20"/>
              </w:rPr>
            </w:pPr>
            <w:r>
              <w:rPr>
                <w:rFonts w:hint="eastAsia"/>
                <w:sz w:val="20"/>
              </w:rPr>
              <w:t>20 ms</w:t>
            </w:r>
          </w:p>
        </w:tc>
        <w:tc>
          <w:tcPr>
            <w:tcW w:w="2438" w:type="dxa"/>
          </w:tcPr>
          <w:p w:rsidR="001554A1" w:rsidRDefault="00FE1B65">
            <w:pPr>
              <w:snapToGrid w:val="0"/>
              <w:spacing w:before="120" w:after="120"/>
              <w:jc w:val="center"/>
              <w:rPr>
                <w:sz w:val="20"/>
              </w:rPr>
            </w:pPr>
            <w:r>
              <w:rPr>
                <w:rFonts w:hint="eastAsia"/>
                <w:sz w:val="20"/>
              </w:rPr>
              <w:t>10%</w:t>
            </w:r>
          </w:p>
        </w:tc>
      </w:tr>
      <w:tr w:rsidR="001554A1">
        <w:trPr>
          <w:jc w:val="center"/>
        </w:trPr>
        <w:tc>
          <w:tcPr>
            <w:tcW w:w="1925" w:type="dxa"/>
          </w:tcPr>
          <w:p w:rsidR="001554A1" w:rsidRDefault="00FE1B65">
            <w:pPr>
              <w:snapToGrid w:val="0"/>
              <w:spacing w:before="120" w:after="120"/>
              <w:jc w:val="center"/>
              <w:rPr>
                <w:sz w:val="20"/>
              </w:rPr>
            </w:pPr>
            <w:r>
              <w:rPr>
                <w:rFonts w:hint="eastAsia"/>
                <w:sz w:val="20"/>
              </w:rPr>
              <w:t>6GR SSB at 7 GHz</w:t>
            </w:r>
          </w:p>
        </w:tc>
        <w:tc>
          <w:tcPr>
            <w:tcW w:w="1076" w:type="dxa"/>
          </w:tcPr>
          <w:p w:rsidR="001554A1" w:rsidRDefault="00FE1B65">
            <w:pPr>
              <w:snapToGrid w:val="0"/>
              <w:spacing w:before="120" w:after="120"/>
              <w:jc w:val="center"/>
              <w:rPr>
                <w:sz w:val="20"/>
              </w:rPr>
            </w:pPr>
            <w:r>
              <w:rPr>
                <w:rFonts w:hint="eastAsia"/>
                <w:sz w:val="20"/>
              </w:rPr>
              <w:t>32</w:t>
            </w:r>
          </w:p>
        </w:tc>
        <w:tc>
          <w:tcPr>
            <w:tcW w:w="1076" w:type="dxa"/>
          </w:tcPr>
          <w:p w:rsidR="001554A1" w:rsidRDefault="00FE1B65">
            <w:pPr>
              <w:snapToGrid w:val="0"/>
              <w:spacing w:before="120" w:after="120"/>
              <w:jc w:val="center"/>
              <w:rPr>
                <w:sz w:val="20"/>
              </w:rPr>
            </w:pPr>
            <w:r>
              <w:rPr>
                <w:rFonts w:hint="eastAsia"/>
                <w:sz w:val="20"/>
              </w:rPr>
              <w:t>30kHz</w:t>
            </w:r>
          </w:p>
        </w:tc>
        <w:tc>
          <w:tcPr>
            <w:tcW w:w="1078" w:type="dxa"/>
          </w:tcPr>
          <w:p w:rsidR="001554A1" w:rsidRDefault="00FE1B65">
            <w:pPr>
              <w:snapToGrid w:val="0"/>
              <w:spacing w:before="120" w:after="120"/>
              <w:jc w:val="center"/>
              <w:rPr>
                <w:sz w:val="20"/>
              </w:rPr>
            </w:pPr>
            <w:r>
              <w:rPr>
                <w:rFonts w:hint="eastAsia"/>
                <w:sz w:val="20"/>
              </w:rPr>
              <w:t>160 ms</w:t>
            </w:r>
          </w:p>
        </w:tc>
        <w:tc>
          <w:tcPr>
            <w:tcW w:w="2438" w:type="dxa"/>
          </w:tcPr>
          <w:p w:rsidR="001554A1" w:rsidRDefault="00FE1B65">
            <w:pPr>
              <w:snapToGrid w:val="0"/>
              <w:spacing w:before="120" w:after="120"/>
              <w:jc w:val="center"/>
              <w:rPr>
                <w:sz w:val="20"/>
              </w:rPr>
            </w:pPr>
            <w:r>
              <w:rPr>
                <w:rFonts w:hint="eastAsia"/>
                <w:sz w:val="20"/>
              </w:rPr>
              <w:t>5%</w:t>
            </w:r>
          </w:p>
        </w:tc>
      </w:tr>
      <w:tr w:rsidR="001554A1">
        <w:trPr>
          <w:jc w:val="center"/>
        </w:trPr>
        <w:tc>
          <w:tcPr>
            <w:tcW w:w="1925" w:type="dxa"/>
          </w:tcPr>
          <w:p w:rsidR="001554A1" w:rsidRDefault="00FE1B65">
            <w:pPr>
              <w:snapToGrid w:val="0"/>
              <w:spacing w:before="120" w:after="120"/>
              <w:jc w:val="center"/>
              <w:rPr>
                <w:sz w:val="20"/>
              </w:rPr>
            </w:pPr>
            <w:r>
              <w:rPr>
                <w:rFonts w:hint="eastAsia"/>
                <w:sz w:val="20"/>
              </w:rPr>
              <w:t>6GR SSB at 7 GHz</w:t>
            </w:r>
          </w:p>
        </w:tc>
        <w:tc>
          <w:tcPr>
            <w:tcW w:w="1076" w:type="dxa"/>
          </w:tcPr>
          <w:p w:rsidR="001554A1" w:rsidRDefault="00FE1B65">
            <w:pPr>
              <w:snapToGrid w:val="0"/>
              <w:spacing w:before="120" w:after="120"/>
              <w:jc w:val="center"/>
              <w:rPr>
                <w:sz w:val="20"/>
              </w:rPr>
            </w:pPr>
            <w:r>
              <w:rPr>
                <w:rFonts w:hint="eastAsia"/>
                <w:sz w:val="20"/>
              </w:rPr>
              <w:t>64</w:t>
            </w:r>
          </w:p>
        </w:tc>
        <w:tc>
          <w:tcPr>
            <w:tcW w:w="1076" w:type="dxa"/>
          </w:tcPr>
          <w:p w:rsidR="001554A1" w:rsidRDefault="00FE1B65">
            <w:pPr>
              <w:snapToGrid w:val="0"/>
              <w:spacing w:before="120" w:after="120"/>
              <w:jc w:val="center"/>
              <w:rPr>
                <w:sz w:val="20"/>
              </w:rPr>
            </w:pPr>
            <w:r>
              <w:rPr>
                <w:rFonts w:hint="eastAsia"/>
                <w:sz w:val="20"/>
              </w:rPr>
              <w:t>30kHz</w:t>
            </w:r>
          </w:p>
        </w:tc>
        <w:tc>
          <w:tcPr>
            <w:tcW w:w="1078" w:type="dxa"/>
          </w:tcPr>
          <w:p w:rsidR="001554A1" w:rsidRDefault="00FE1B65">
            <w:pPr>
              <w:snapToGrid w:val="0"/>
              <w:spacing w:before="120" w:after="120"/>
              <w:jc w:val="center"/>
              <w:rPr>
                <w:sz w:val="20"/>
              </w:rPr>
            </w:pPr>
            <w:r>
              <w:rPr>
                <w:rFonts w:hint="eastAsia"/>
                <w:sz w:val="20"/>
              </w:rPr>
              <w:t>160 ms</w:t>
            </w:r>
          </w:p>
        </w:tc>
        <w:tc>
          <w:tcPr>
            <w:tcW w:w="2438" w:type="dxa"/>
          </w:tcPr>
          <w:p w:rsidR="001554A1" w:rsidRDefault="00FE1B65">
            <w:pPr>
              <w:snapToGrid w:val="0"/>
              <w:spacing w:before="120" w:after="120"/>
              <w:jc w:val="center"/>
              <w:rPr>
                <w:sz w:val="20"/>
              </w:rPr>
            </w:pPr>
            <w:r>
              <w:rPr>
                <w:rFonts w:hint="eastAsia"/>
                <w:sz w:val="20"/>
              </w:rPr>
              <w:t>10%</w:t>
            </w:r>
          </w:p>
        </w:tc>
      </w:tr>
    </w:tbl>
    <w:p w:rsidR="001554A1" w:rsidRDefault="00FE1B65">
      <w:pPr>
        <w:snapToGrid w:val="0"/>
        <w:spacing w:before="120" w:after="120"/>
        <w:rPr>
          <w:i/>
          <w:iCs/>
          <w:sz w:val="20"/>
        </w:rPr>
      </w:pPr>
      <w:r>
        <w:rPr>
          <w:b/>
          <w:bCs/>
          <w:i/>
          <w:sz w:val="20"/>
        </w:rPr>
        <w:t xml:space="preserve">Observation </w:t>
      </w:r>
      <w:r>
        <w:rPr>
          <w:rFonts w:hint="eastAsia"/>
          <w:b/>
          <w:bCs/>
          <w:i/>
          <w:sz w:val="20"/>
        </w:rPr>
        <w:t>8</w:t>
      </w:r>
      <w:r>
        <w:rPr>
          <w:b/>
          <w:bCs/>
          <w:i/>
          <w:sz w:val="20"/>
        </w:rPr>
        <w:t>:</w:t>
      </w:r>
      <w:r>
        <w:rPr>
          <w:bCs/>
          <w:i/>
          <w:iCs/>
          <w:sz w:val="20"/>
        </w:rPr>
        <w:t xml:space="preserve"> </w:t>
      </w:r>
      <w:r w:rsidR="00476EE9">
        <w:rPr>
          <w:i/>
          <w:iCs/>
          <w:sz w:val="20"/>
        </w:rPr>
        <w:t>T</w:t>
      </w:r>
      <w:r>
        <w:rPr>
          <w:rFonts w:hint="eastAsia"/>
          <w:i/>
          <w:iCs/>
          <w:sz w:val="20"/>
        </w:rPr>
        <w:t xml:space="preserve">ime-domain overhead similar to that of 5G SSB can be expected if the number of 6GR SSB increases to 64 while </w:t>
      </w:r>
      <w:r w:rsidR="00476EE9">
        <w:rPr>
          <w:i/>
          <w:iCs/>
          <w:sz w:val="20"/>
        </w:rPr>
        <w:t>extending</w:t>
      </w:r>
      <w:r>
        <w:rPr>
          <w:rFonts w:hint="eastAsia"/>
          <w:i/>
          <w:iCs/>
          <w:sz w:val="20"/>
        </w:rPr>
        <w:t xml:space="preserve"> to 160 ms.</w:t>
      </w:r>
    </w:p>
    <w:p w:rsidR="001554A1" w:rsidRDefault="00FE1B65">
      <w:pPr>
        <w:snapToGrid w:val="0"/>
        <w:spacing w:before="120" w:after="120"/>
        <w:rPr>
          <w:b/>
          <w:bCs/>
          <w:i/>
          <w:iCs/>
          <w:sz w:val="20"/>
        </w:rPr>
      </w:pPr>
      <w:r>
        <w:rPr>
          <w:b/>
          <w:bCs/>
          <w:i/>
          <w:sz w:val="20"/>
        </w:rPr>
        <w:t xml:space="preserve">Proposal </w:t>
      </w:r>
      <w:r>
        <w:rPr>
          <w:rFonts w:hint="eastAsia"/>
          <w:b/>
          <w:bCs/>
          <w:i/>
          <w:sz w:val="20"/>
        </w:rPr>
        <w:t>4</w:t>
      </w:r>
      <w:r>
        <w:rPr>
          <w:b/>
          <w:bCs/>
          <w:i/>
          <w:sz w:val="20"/>
        </w:rPr>
        <w:t>:</w:t>
      </w:r>
      <w:r>
        <w:rPr>
          <w:rFonts w:hint="eastAsia"/>
          <w:b/>
          <w:bCs/>
          <w:i/>
          <w:sz w:val="20"/>
        </w:rPr>
        <w:t xml:space="preserve"> </w:t>
      </w:r>
      <w:r>
        <w:rPr>
          <w:rFonts w:hint="eastAsia"/>
          <w:i/>
          <w:sz w:val="20"/>
        </w:rPr>
        <w:t>A larger SSB capacity</w:t>
      </w:r>
      <w:r>
        <w:rPr>
          <w:i/>
          <w:sz w:val="20"/>
        </w:rPr>
        <w:t xml:space="preserve"> </w:t>
      </w:r>
      <w:r>
        <w:rPr>
          <w:rFonts w:hint="eastAsia"/>
          <w:i/>
          <w:sz w:val="20"/>
        </w:rPr>
        <w:t>can be considered in 6GR</w:t>
      </w:r>
      <w:r>
        <w:rPr>
          <w:i/>
          <w:sz w:val="20"/>
        </w:rPr>
        <w:t xml:space="preserve"> to support various deployment (e.g., U6GHz and NTN).</w:t>
      </w:r>
    </w:p>
    <w:p w:rsidR="001554A1" w:rsidRPr="00A14A70"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rFonts w:eastAsia="黑体"/>
          <w:b/>
          <w:kern w:val="0"/>
          <w:sz w:val="22"/>
          <w:szCs w:val="22"/>
        </w:rPr>
      </w:pPr>
      <w:r w:rsidRPr="00A14A70">
        <w:rPr>
          <w:b/>
          <w:sz w:val="20"/>
        </w:rPr>
        <w:t>Content of synchronization signal/channel</w:t>
      </w:r>
    </w:p>
    <w:p w:rsidR="001554A1" w:rsidRDefault="00FE1B65">
      <w:pPr>
        <w:spacing w:before="120" w:after="120"/>
        <w:rPr>
          <w:sz w:val="20"/>
        </w:rPr>
      </w:pPr>
      <w:r>
        <w:rPr>
          <w:rFonts w:hint="eastAsia"/>
          <w:sz w:val="20"/>
        </w:rPr>
        <w:t xml:space="preserve">In 5G NR, MIB information can be classified into invariant information and variable information (e.g., SSB index, half frame indication, and part of SFN bits) based on whether it changes within the update period. </w:t>
      </w:r>
    </w:p>
    <w:p w:rsidR="001554A1" w:rsidRDefault="00FE1B65">
      <w:pPr>
        <w:spacing w:before="120" w:after="120"/>
        <w:rPr>
          <w:sz w:val="20"/>
        </w:rPr>
      </w:pPr>
      <w:r>
        <w:rPr>
          <w:rFonts w:hint="eastAsia"/>
          <w:sz w:val="20"/>
        </w:rPr>
        <w:t xml:space="preserve">In 6GR, the network needs to be applicable to various requirements, such as terminals with different bandwidth capabilities, different network deployment scenarios (e.g., TN and NTN), and different service types, etc. This may result in different requirements for the content of the MIB information. Specifically, the network may wish to independently configure CORESET#0/initial DL BWP for terminals with different bandwidth capabilities, which will further introduce the time-varying nature of the MIB information. </w:t>
      </w:r>
    </w:p>
    <w:p w:rsidR="001554A1" w:rsidRDefault="00FE1B65">
      <w:pPr>
        <w:spacing w:before="120" w:after="120"/>
        <w:rPr>
          <w:sz w:val="20"/>
        </w:rPr>
      </w:pPr>
      <w:r>
        <w:rPr>
          <w:b/>
          <w:bCs/>
          <w:i/>
          <w:sz w:val="20"/>
        </w:rPr>
        <w:t xml:space="preserve">Observation </w:t>
      </w:r>
      <w:r>
        <w:rPr>
          <w:rFonts w:hint="eastAsia"/>
          <w:b/>
          <w:bCs/>
          <w:i/>
          <w:sz w:val="20"/>
        </w:rPr>
        <w:t>9</w:t>
      </w:r>
      <w:r>
        <w:rPr>
          <w:b/>
          <w:bCs/>
          <w:i/>
          <w:sz w:val="20"/>
        </w:rPr>
        <w:t>:</w:t>
      </w:r>
      <w:r>
        <w:rPr>
          <w:bCs/>
          <w:i/>
          <w:iCs/>
          <w:sz w:val="20"/>
        </w:rPr>
        <w:t xml:space="preserve"> </w:t>
      </w:r>
      <w:r>
        <w:rPr>
          <w:rFonts w:hint="eastAsia"/>
          <w:i/>
          <w:iCs/>
          <w:sz w:val="20"/>
        </w:rPr>
        <w:t xml:space="preserve">Time-varying system information will affect the performance of combined reception. </w:t>
      </w:r>
    </w:p>
    <w:p w:rsidR="001554A1" w:rsidRDefault="00FE1B65">
      <w:pPr>
        <w:spacing w:before="120" w:after="120"/>
        <w:rPr>
          <w:sz w:val="20"/>
        </w:rPr>
      </w:pPr>
      <w:r>
        <w:rPr>
          <w:rFonts w:hint="eastAsia"/>
          <w:sz w:val="20"/>
        </w:rPr>
        <w:t>If MIB information is defined as a</w:t>
      </w:r>
      <w:r>
        <w:rPr>
          <w:sz w:val="20"/>
        </w:rPr>
        <w:t xml:space="preserve"> </w:t>
      </w:r>
      <w:r>
        <w:rPr>
          <w:rFonts w:hint="eastAsia"/>
          <w:sz w:val="20"/>
        </w:rPr>
        <w:t>whole</w:t>
      </w:r>
      <w:r>
        <w:rPr>
          <w:sz w:val="20"/>
        </w:rPr>
        <w:t xml:space="preserve"> similar to </w:t>
      </w:r>
      <w:r>
        <w:rPr>
          <w:rFonts w:hint="eastAsia"/>
          <w:sz w:val="20"/>
        </w:rPr>
        <w:t>5G NR, this will affect the soft combining reception of PBCH for different periods</w:t>
      </w:r>
      <w:r w:rsidR="00237195">
        <w:rPr>
          <w:sz w:val="20"/>
        </w:rPr>
        <w:t xml:space="preserve"> and </w:t>
      </w:r>
      <w:r w:rsidR="00C07263">
        <w:rPr>
          <w:rFonts w:hint="eastAsia"/>
          <w:sz w:val="20"/>
        </w:rPr>
        <w:t>satisfaction</w:t>
      </w:r>
      <w:r w:rsidR="00C07263">
        <w:rPr>
          <w:sz w:val="20"/>
        </w:rPr>
        <w:t xml:space="preserve"> on</w:t>
      </w:r>
      <w:r>
        <w:rPr>
          <w:rFonts w:hint="eastAsia"/>
          <w:sz w:val="20"/>
        </w:rPr>
        <w:t xml:space="preserve"> specific relationships at terminal</w:t>
      </w:r>
      <w:r w:rsidR="00E613A3">
        <w:rPr>
          <w:sz w:val="20"/>
        </w:rPr>
        <w:t xml:space="preserve"> side</w:t>
      </w:r>
      <w:r>
        <w:rPr>
          <w:rFonts w:hint="eastAsia"/>
          <w:sz w:val="20"/>
        </w:rPr>
        <w:t>. As an example shown in Figure</w:t>
      </w:r>
      <w:r>
        <w:rPr>
          <w:sz w:val="20"/>
        </w:rPr>
        <w:t xml:space="preserve"> </w:t>
      </w:r>
      <w:r w:rsidR="00662A27">
        <w:rPr>
          <w:sz w:val="20"/>
        </w:rPr>
        <w:t>3.1-2</w:t>
      </w:r>
      <w:r>
        <w:rPr>
          <w:rFonts w:hint="eastAsia"/>
          <w:sz w:val="20"/>
        </w:rPr>
        <w:t xml:space="preserve">, one possible mechanism is to divide it into different MIB information types based on whether the information is time-varying or scenario/device type/service type specific, and handle them independently. Thus, it avoids </w:t>
      </w:r>
      <w:r w:rsidR="00393566">
        <w:rPr>
          <w:sz w:val="20"/>
        </w:rPr>
        <w:t xml:space="preserve">performance </w:t>
      </w:r>
      <w:r>
        <w:rPr>
          <w:rFonts w:hint="eastAsia"/>
          <w:sz w:val="20"/>
        </w:rPr>
        <w:t xml:space="preserve">impact of time-varying information </w:t>
      </w:r>
      <w:r w:rsidR="00393566">
        <w:rPr>
          <w:sz w:val="20"/>
        </w:rPr>
        <w:t xml:space="preserve">based on </w:t>
      </w:r>
      <w:r>
        <w:rPr>
          <w:rFonts w:hint="eastAsia"/>
          <w:sz w:val="20"/>
        </w:rPr>
        <w:t>combined reception.</w:t>
      </w:r>
      <w:r>
        <w:rPr>
          <w:sz w:val="20"/>
        </w:rPr>
        <w:t xml:space="preserve"> Additionally, the optimized mapping is also </w:t>
      </w:r>
      <w:r>
        <w:rPr>
          <w:rFonts w:hint="eastAsia"/>
          <w:sz w:val="20"/>
        </w:rPr>
        <w:t>beneficial</w:t>
      </w:r>
      <w:r>
        <w:rPr>
          <w:sz w:val="20"/>
        </w:rPr>
        <w:t xml:space="preserve"> to improve the performance for narrow band operation.</w:t>
      </w:r>
    </w:p>
    <w:p w:rsidR="001554A1" w:rsidRDefault="00FE1B65">
      <w:pPr>
        <w:spacing w:before="120" w:after="120"/>
        <w:jc w:val="center"/>
      </w:pPr>
      <w:r>
        <w:rPr>
          <w:noProof/>
        </w:rPr>
        <w:drawing>
          <wp:inline distT="0" distB="0" distL="114300" distR="114300">
            <wp:extent cx="2310130" cy="1219200"/>
            <wp:effectExtent l="0" t="0" r="635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1"/>
                    <a:stretch>
                      <a:fillRect/>
                    </a:stretch>
                  </pic:blipFill>
                  <pic:spPr>
                    <a:xfrm>
                      <a:off x="0" y="0"/>
                      <a:ext cx="2310130" cy="1219793"/>
                    </a:xfrm>
                    <a:prstGeom prst="rect">
                      <a:avLst/>
                    </a:prstGeom>
                  </pic:spPr>
                </pic:pic>
              </a:graphicData>
            </a:graphic>
          </wp:inline>
        </w:drawing>
      </w:r>
    </w:p>
    <w:p w:rsidR="001554A1" w:rsidRDefault="00FE1B65">
      <w:pPr>
        <w:spacing w:before="120" w:after="120"/>
        <w:jc w:val="center"/>
        <w:rPr>
          <w:sz w:val="20"/>
        </w:rPr>
      </w:pPr>
      <w:r>
        <w:rPr>
          <w:sz w:val="20"/>
        </w:rPr>
        <w:t xml:space="preserve">Figure </w:t>
      </w:r>
      <w:r w:rsidR="00662A27">
        <w:rPr>
          <w:sz w:val="20"/>
        </w:rPr>
        <w:t>3.1-2</w:t>
      </w:r>
      <w:r>
        <w:rPr>
          <w:sz w:val="20"/>
        </w:rPr>
        <w:t>: MIB information splitting</w:t>
      </w:r>
    </w:p>
    <w:p w:rsidR="001554A1" w:rsidRDefault="00FE1B65">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rFonts w:hint="eastAsia"/>
          <w:bCs/>
          <w:i/>
          <w:sz w:val="20"/>
        </w:rPr>
        <w:t>MIB information splitting</w:t>
      </w:r>
      <w:r>
        <w:rPr>
          <w:bCs/>
          <w:i/>
          <w:sz w:val="20"/>
        </w:rPr>
        <w:t xml:space="preserve"> </w:t>
      </w:r>
      <w:r>
        <w:rPr>
          <w:rFonts w:hint="eastAsia"/>
          <w:bCs/>
          <w:i/>
          <w:sz w:val="20"/>
        </w:rPr>
        <w:t>and</w:t>
      </w:r>
      <w:r>
        <w:rPr>
          <w:bCs/>
          <w:i/>
          <w:sz w:val="20"/>
        </w:rPr>
        <w:t xml:space="preserve"> mapping</w:t>
      </w:r>
      <w:r>
        <w:rPr>
          <w:rFonts w:hint="eastAsia"/>
          <w:bCs/>
          <w:i/>
          <w:sz w:val="20"/>
        </w:rPr>
        <w:t xml:space="preserve"> can be studied in 6GR</w:t>
      </w:r>
      <w:r>
        <w:rPr>
          <w:bCs/>
          <w:i/>
          <w:sz w:val="20"/>
        </w:rPr>
        <w:t xml:space="preserve"> to ensure the PBCH performance </w:t>
      </w:r>
      <w:r>
        <w:rPr>
          <w:rFonts w:hint="eastAsia"/>
          <w:bCs/>
          <w:i/>
          <w:sz w:val="20"/>
        </w:rPr>
        <w:t>for</w:t>
      </w:r>
      <w:r>
        <w:rPr>
          <w:bCs/>
          <w:i/>
          <w:sz w:val="20"/>
        </w:rPr>
        <w:t xml:space="preserve"> various cases, e.g., PBCH combination, different </w:t>
      </w:r>
      <w:r>
        <w:rPr>
          <w:rFonts w:hint="eastAsia"/>
          <w:bCs/>
          <w:i/>
          <w:sz w:val="20"/>
        </w:rPr>
        <w:t xml:space="preserve">deployment or </w:t>
      </w:r>
      <w:r>
        <w:rPr>
          <w:bCs/>
          <w:i/>
          <w:sz w:val="20"/>
        </w:rPr>
        <w:t>device types</w:t>
      </w:r>
      <w:r>
        <w:rPr>
          <w:rFonts w:hint="eastAsia"/>
          <w:bCs/>
          <w:i/>
          <w:sz w:val="20"/>
        </w:rPr>
        <w:t>.</w:t>
      </w:r>
    </w:p>
    <w:p w:rsidR="001554A1" w:rsidRPr="00A14A70" w:rsidRDefault="00FE1B65">
      <w:pPr>
        <w:pStyle w:val="3"/>
        <w:keepNext/>
        <w:keepLines/>
        <w:widowControl w:val="0"/>
        <w:numPr>
          <w:ilvl w:val="2"/>
          <w:numId w:val="7"/>
        </w:numPr>
        <w:tabs>
          <w:tab w:val="left" w:pos="432"/>
        </w:tabs>
        <w:autoSpaceDE w:val="0"/>
        <w:autoSpaceDN w:val="0"/>
        <w:adjustRightInd w:val="0"/>
        <w:spacing w:beforeLines="0" w:after="120" w:line="240" w:lineRule="auto"/>
        <w:jc w:val="left"/>
        <w:rPr>
          <w:b/>
          <w:sz w:val="20"/>
        </w:rPr>
      </w:pPr>
      <w:r w:rsidRPr="00A14A70">
        <w:rPr>
          <w:b/>
          <w:sz w:val="20"/>
        </w:rPr>
        <w:t>Raster of synchronization signal/channel</w:t>
      </w:r>
    </w:p>
    <w:p w:rsidR="001554A1" w:rsidRDefault="00FE1B65">
      <w:pPr>
        <w:spacing w:before="120" w:after="120"/>
        <w:rPr>
          <w:sz w:val="20"/>
        </w:rPr>
      </w:pPr>
      <w:r>
        <w:rPr>
          <w:sz w:val="20"/>
        </w:rPr>
        <w:t xml:space="preserve">The location of sync raster is defined to determine the </w:t>
      </w:r>
      <w:r>
        <w:rPr>
          <w:rFonts w:hint="eastAsia"/>
          <w:sz w:val="20"/>
        </w:rPr>
        <w:t>deployment</w:t>
      </w:r>
      <w:r>
        <w:rPr>
          <w:sz w:val="20"/>
        </w:rPr>
        <w:t xml:space="preserve"> of network per operator’s needs based on </w:t>
      </w:r>
      <w:r>
        <w:rPr>
          <w:rFonts w:hint="eastAsia"/>
          <w:sz w:val="20"/>
        </w:rPr>
        <w:t>available</w:t>
      </w:r>
      <w:r>
        <w:rPr>
          <w:sz w:val="20"/>
        </w:rPr>
        <w:t xml:space="preserve"> </w:t>
      </w:r>
      <w:r>
        <w:rPr>
          <w:rFonts w:hint="eastAsia"/>
          <w:sz w:val="20"/>
        </w:rPr>
        <w:t>spectrum</w:t>
      </w:r>
      <w:r>
        <w:rPr>
          <w:sz w:val="20"/>
        </w:rPr>
        <w:t xml:space="preserve"> </w:t>
      </w:r>
      <w:r>
        <w:rPr>
          <w:rFonts w:hint="eastAsia"/>
          <w:sz w:val="20"/>
        </w:rPr>
        <w:t>resource</w:t>
      </w:r>
      <w:r>
        <w:rPr>
          <w:sz w:val="20"/>
        </w:rPr>
        <w:t xml:space="preserve">. With larger number of raster, </w:t>
      </w:r>
      <w:r>
        <w:rPr>
          <w:rFonts w:hint="eastAsia"/>
          <w:sz w:val="20"/>
        </w:rPr>
        <w:t>flexibility</w:t>
      </w:r>
      <w:r>
        <w:rPr>
          <w:sz w:val="20"/>
        </w:rPr>
        <w:t xml:space="preserve"> can be guaranteed. Additionally, from UE</w:t>
      </w:r>
      <w:r w:rsidR="00900EB6">
        <w:rPr>
          <w:sz w:val="20"/>
        </w:rPr>
        <w:t xml:space="preserve"> </w:t>
      </w:r>
      <w:r>
        <w:rPr>
          <w:sz w:val="20"/>
        </w:rPr>
        <w:t xml:space="preserve">perspective, in initial cell searching, it will require more efforts for sync-signal detection and it may </w:t>
      </w:r>
      <w:r>
        <w:rPr>
          <w:rFonts w:hint="eastAsia"/>
          <w:sz w:val="20"/>
        </w:rPr>
        <w:t xml:space="preserve">affect UE energy consumption and </w:t>
      </w:r>
      <w:r>
        <w:rPr>
          <w:rFonts w:hint="eastAsia"/>
          <w:sz w:val="20"/>
        </w:rPr>
        <w:lastRenderedPageBreak/>
        <w:t>complexity. For reduction of latency</w:t>
      </w:r>
      <w:r w:rsidR="008C35AF">
        <w:rPr>
          <w:sz w:val="20"/>
        </w:rPr>
        <w:t xml:space="preserve"> in </w:t>
      </w:r>
      <w:r w:rsidR="008C35AF">
        <w:rPr>
          <w:rFonts w:hint="eastAsia"/>
          <w:sz w:val="20"/>
        </w:rPr>
        <w:t>initial cell search</w:t>
      </w:r>
      <w:r>
        <w:rPr>
          <w:rFonts w:hint="eastAsia"/>
          <w:sz w:val="20"/>
        </w:rPr>
        <w:t xml:space="preserve"> as well as UE energy consumption/complexity, a sparse sync raster </w:t>
      </w:r>
      <w:r>
        <w:rPr>
          <w:sz w:val="20"/>
        </w:rPr>
        <w:t xml:space="preserve">can be studied along with </w:t>
      </w:r>
      <w:r w:rsidR="005D4EA1">
        <w:rPr>
          <w:sz w:val="20"/>
        </w:rPr>
        <w:t xml:space="preserve">operator’s </w:t>
      </w:r>
      <w:r>
        <w:rPr>
          <w:sz w:val="20"/>
        </w:rPr>
        <w:t xml:space="preserve">needs </w:t>
      </w:r>
      <w:r w:rsidR="005D4EA1">
        <w:rPr>
          <w:sz w:val="20"/>
        </w:rPr>
        <w:t xml:space="preserve">and </w:t>
      </w:r>
      <w:r>
        <w:rPr>
          <w:sz w:val="20"/>
        </w:rPr>
        <w:t>decision on deployment</w:t>
      </w:r>
      <w:r>
        <w:rPr>
          <w:rFonts w:hint="eastAsia"/>
          <w:sz w:val="20"/>
        </w:rPr>
        <w:t xml:space="preserve">. </w:t>
      </w:r>
    </w:p>
    <w:p w:rsidR="001554A1" w:rsidRDefault="00FE1B65">
      <w:pPr>
        <w:spacing w:before="120" w:after="120"/>
        <w:rPr>
          <w:i/>
          <w:sz w:val="20"/>
        </w:rPr>
      </w:pPr>
      <w:r>
        <w:rPr>
          <w:b/>
          <w:bCs/>
          <w:i/>
          <w:sz w:val="20"/>
        </w:rPr>
        <w:t xml:space="preserve">Observation </w:t>
      </w:r>
      <w:r>
        <w:rPr>
          <w:rFonts w:hint="eastAsia"/>
          <w:b/>
          <w:bCs/>
          <w:i/>
          <w:sz w:val="20"/>
        </w:rPr>
        <w:t>10</w:t>
      </w:r>
      <w:r>
        <w:rPr>
          <w:b/>
          <w:bCs/>
          <w:i/>
          <w:sz w:val="20"/>
        </w:rPr>
        <w:t>:</w:t>
      </w:r>
      <w:r>
        <w:rPr>
          <w:bCs/>
          <w:i/>
          <w:sz w:val="20"/>
        </w:rPr>
        <w:t xml:space="preserve"> The design of </w:t>
      </w:r>
      <w:r>
        <w:rPr>
          <w:rFonts w:hint="eastAsia"/>
          <w:i/>
          <w:sz w:val="20"/>
        </w:rPr>
        <w:t>sync raster</w:t>
      </w:r>
      <w:r>
        <w:rPr>
          <w:i/>
          <w:sz w:val="20"/>
        </w:rPr>
        <w:t xml:space="preserve"> will impact both operator’s </w:t>
      </w:r>
      <w:r w:rsidR="00852698">
        <w:rPr>
          <w:i/>
          <w:sz w:val="20"/>
        </w:rPr>
        <w:t xml:space="preserve">network </w:t>
      </w:r>
      <w:r>
        <w:rPr>
          <w:i/>
          <w:sz w:val="20"/>
        </w:rPr>
        <w:t>and UE’s implementation, e.g., for cell searching</w:t>
      </w:r>
      <w:r>
        <w:rPr>
          <w:rFonts w:hint="eastAsia"/>
          <w:i/>
          <w:sz w:val="20"/>
        </w:rPr>
        <w:t xml:space="preserve">. </w:t>
      </w:r>
    </w:p>
    <w:p w:rsidR="001554A1" w:rsidRDefault="00FE1B65">
      <w:pPr>
        <w:spacing w:before="120" w:after="120"/>
        <w:rPr>
          <w:sz w:val="20"/>
        </w:rPr>
      </w:pPr>
      <w:r>
        <w:rPr>
          <w:rFonts w:hint="eastAsia"/>
          <w:sz w:val="20"/>
        </w:rPr>
        <w:t xml:space="preserve">Regarding the definition of sync raster in 5G NR, the following principle is followed: for minimum channel bandwidth (i.e., 5 MHz) deployed on any channel raster, there exists at least one sync raster, on which a SSB completely covered by this minimum channel bandwidth can be placed. More specifically, the granularity of sync raster is determined by the formula: Sync raster granularity = Minimal channel BW - SSB BW + Channel raster granularity. </w:t>
      </w:r>
    </w:p>
    <w:p w:rsidR="001554A1" w:rsidRDefault="00FE1B65">
      <w:pPr>
        <w:spacing w:before="120" w:after="120"/>
        <w:rPr>
          <w:sz w:val="20"/>
        </w:rPr>
      </w:pPr>
      <w:r>
        <w:rPr>
          <w:rFonts w:hint="eastAsia"/>
          <w:sz w:val="20"/>
        </w:rPr>
        <w:t>This suggests that increasing minimum channel bandwidth or channel raster granularity could lead to a sparser synchronization raster. However, such an approach would compromise the flexibility of operator</w:t>
      </w:r>
      <w:r w:rsidR="00B4680A">
        <w:rPr>
          <w:sz w:val="20"/>
        </w:rPr>
        <w:t xml:space="preserve"> for</w:t>
      </w:r>
      <w:r>
        <w:rPr>
          <w:rFonts w:hint="eastAsia"/>
          <w:sz w:val="20"/>
        </w:rPr>
        <w:t xml:space="preserve"> </w:t>
      </w:r>
      <w:r w:rsidR="00B4680A">
        <w:rPr>
          <w:sz w:val="20"/>
        </w:rPr>
        <w:t>deployment</w:t>
      </w:r>
      <w:r>
        <w:rPr>
          <w:rFonts w:hint="eastAsia"/>
          <w:sz w:val="20"/>
        </w:rPr>
        <w:t xml:space="preserve">. Alternatively, one </w:t>
      </w:r>
      <w:r w:rsidR="005F37EC">
        <w:rPr>
          <w:sz w:val="20"/>
        </w:rPr>
        <w:t>way is to reduce</w:t>
      </w:r>
      <w:r>
        <w:rPr>
          <w:rFonts w:hint="eastAsia"/>
          <w:sz w:val="20"/>
        </w:rPr>
        <w:t xml:space="preserve"> the SSB bandwidth in </w:t>
      </w:r>
      <w:r w:rsidR="000C5A4B">
        <w:rPr>
          <w:sz w:val="20"/>
        </w:rPr>
        <w:t>above</w:t>
      </w:r>
      <w:r>
        <w:rPr>
          <w:rFonts w:hint="eastAsia"/>
          <w:sz w:val="20"/>
        </w:rPr>
        <w:t xml:space="preserve"> formula. As discussed in Section 3.1, a smaller SSB bandwidth negatively impacts on performance of the </w:t>
      </w:r>
      <w:r>
        <w:rPr>
          <w:bCs/>
          <w:sz w:val="20"/>
        </w:rPr>
        <w:t>more typical eMBB scenario with larger bandwidth</w:t>
      </w:r>
      <w:r>
        <w:rPr>
          <w:rFonts w:hint="eastAsia"/>
          <w:bCs/>
          <w:sz w:val="20"/>
        </w:rPr>
        <w:t>.</w:t>
      </w:r>
      <w:r>
        <w:rPr>
          <w:rFonts w:hint="eastAsia"/>
          <w:sz w:val="20"/>
        </w:rPr>
        <w:t xml:space="preserve"> Hence, this is not considered a viable solution. Consequently, it may be worthwhile to reconsider the design principles of the synchronization raster. As an example shown in Figure </w:t>
      </w:r>
      <w:r w:rsidR="00B572FB">
        <w:rPr>
          <w:sz w:val="20"/>
        </w:rPr>
        <w:t>3.1-3</w:t>
      </w:r>
      <w:r>
        <w:rPr>
          <w:rFonts w:hint="eastAsia"/>
          <w:sz w:val="20"/>
        </w:rPr>
        <w:t xml:space="preserve">, the framework could be adjusted to allow a portion of SSB bandwidth to fall outside of minimum channel bandwidth. </w:t>
      </w:r>
    </w:p>
    <w:p w:rsidR="001554A1" w:rsidRDefault="00FE1B65">
      <w:pPr>
        <w:spacing w:before="120" w:after="120"/>
        <w:jc w:val="center"/>
      </w:pPr>
      <w:r>
        <w:rPr>
          <w:noProof/>
        </w:rPr>
        <w:drawing>
          <wp:inline distT="0" distB="0" distL="114300" distR="114300">
            <wp:extent cx="3065145" cy="1487170"/>
            <wp:effectExtent l="0" t="0" r="1905"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2"/>
                    <a:stretch>
                      <a:fillRect/>
                    </a:stretch>
                  </pic:blipFill>
                  <pic:spPr>
                    <a:xfrm>
                      <a:off x="0" y="0"/>
                      <a:ext cx="3074104" cy="1491719"/>
                    </a:xfrm>
                    <a:prstGeom prst="rect">
                      <a:avLst/>
                    </a:prstGeom>
                    <a:noFill/>
                    <a:ln>
                      <a:noFill/>
                    </a:ln>
                  </pic:spPr>
                </pic:pic>
              </a:graphicData>
            </a:graphic>
          </wp:inline>
        </w:drawing>
      </w:r>
    </w:p>
    <w:p w:rsidR="001554A1" w:rsidRPr="00BA0E2D" w:rsidRDefault="00FE1B65">
      <w:pPr>
        <w:spacing w:before="120" w:after="120"/>
        <w:jc w:val="center"/>
        <w:rPr>
          <w:sz w:val="20"/>
        </w:rPr>
      </w:pPr>
      <w:r w:rsidRPr="00BA0E2D">
        <w:rPr>
          <w:rFonts w:hint="eastAsia"/>
          <w:sz w:val="20"/>
        </w:rPr>
        <w:t xml:space="preserve">Figure </w:t>
      </w:r>
      <w:r w:rsidR="00B572FB">
        <w:rPr>
          <w:sz w:val="20"/>
        </w:rPr>
        <w:t>3.1-3</w:t>
      </w:r>
      <w:r w:rsidRPr="00BA0E2D">
        <w:rPr>
          <w:rFonts w:hint="eastAsia"/>
          <w:sz w:val="20"/>
        </w:rPr>
        <w:t>: A carrier only contains a portion of SSB</w:t>
      </w:r>
    </w:p>
    <w:p w:rsidR="001554A1" w:rsidRDefault="00FE1B65">
      <w:pPr>
        <w:spacing w:before="120" w:after="120"/>
        <w:rPr>
          <w:sz w:val="20"/>
        </w:rPr>
      </w:pPr>
      <w:r>
        <w:rPr>
          <w:sz w:val="20"/>
        </w:rPr>
        <w:t xml:space="preserve">In addition, to ensure the performance and </w:t>
      </w:r>
      <w:r>
        <w:rPr>
          <w:rFonts w:hint="eastAsia"/>
          <w:sz w:val="20"/>
        </w:rPr>
        <w:t>flexibility</w:t>
      </w:r>
      <w:r>
        <w:rPr>
          <w:sz w:val="20"/>
        </w:rPr>
        <w:t xml:space="preserve"> of 6GR</w:t>
      </w:r>
      <w:r>
        <w:rPr>
          <w:rFonts w:hint="eastAsia"/>
          <w:sz w:val="20"/>
        </w:rPr>
        <w:t>,</w:t>
      </w:r>
      <w:r>
        <w:rPr>
          <w:sz w:val="20"/>
        </w:rPr>
        <w:t xml:space="preserve"> it’s more proper to assume the </w:t>
      </w:r>
      <w:r>
        <w:rPr>
          <w:rFonts w:hint="eastAsia"/>
          <w:color w:val="000000" w:themeColor="text1"/>
          <w:sz w:val="20"/>
        </w:rPr>
        <w:t xml:space="preserve">separate "sync raster" </w:t>
      </w:r>
      <w:r>
        <w:rPr>
          <w:color w:val="000000" w:themeColor="text1"/>
          <w:sz w:val="20"/>
        </w:rPr>
        <w:t>design</w:t>
      </w:r>
      <w:r>
        <w:rPr>
          <w:rFonts w:hint="eastAsia"/>
          <w:color w:val="000000" w:themeColor="text1"/>
          <w:sz w:val="20"/>
        </w:rPr>
        <w:t>.</w:t>
      </w:r>
    </w:p>
    <w:p w:rsidR="001554A1" w:rsidRDefault="00FE1B65">
      <w:pPr>
        <w:snapToGrid w:val="0"/>
        <w:spacing w:before="120" w:after="120"/>
        <w:rPr>
          <w:b/>
          <w:bCs/>
          <w:i/>
          <w:sz w:val="20"/>
        </w:rPr>
      </w:pPr>
      <w:bookmarkStart w:id="3" w:name="_Hlk220162792"/>
      <w:r>
        <w:rPr>
          <w:b/>
          <w:bCs/>
          <w:i/>
          <w:sz w:val="20"/>
        </w:rPr>
        <w:t xml:space="preserve">Proposal 6: </w:t>
      </w:r>
      <w:r w:rsidR="005A35BA">
        <w:rPr>
          <w:bCs/>
          <w:i/>
          <w:sz w:val="20"/>
        </w:rPr>
        <w:t>M</w:t>
      </w:r>
      <w:r>
        <w:rPr>
          <w:bCs/>
          <w:i/>
          <w:sz w:val="20"/>
        </w:rPr>
        <w:t>echanism for defining a sparser synchronization raster can be studied in 6GR</w:t>
      </w:r>
      <w:bookmarkEnd w:id="3"/>
      <w:r>
        <w:rPr>
          <w:bCs/>
          <w:i/>
          <w:sz w:val="20"/>
        </w:rPr>
        <w:t>.</w:t>
      </w:r>
    </w:p>
    <w:p w:rsidR="001554A1" w:rsidRDefault="00FE1B65">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黑体" w:hAnsi="Times New Roman"/>
          <w:b/>
          <w:bCs/>
          <w:kern w:val="0"/>
          <w:sz w:val="24"/>
          <w:szCs w:val="24"/>
        </w:rPr>
        <w:t xml:space="preserve">Consideration on framework for </w:t>
      </w:r>
      <w:r>
        <w:rPr>
          <w:rFonts w:ascii="Times New Roman" w:eastAsia="宋体" w:hAnsi="Times New Roman"/>
          <w:b/>
          <w:sz w:val="24"/>
          <w:szCs w:val="24"/>
        </w:rPr>
        <w:t>synchronization signal/channel</w:t>
      </w:r>
    </w:p>
    <w:p w:rsidR="001554A1"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rFonts w:eastAsia="黑体"/>
          <w:b/>
          <w:bCs/>
          <w:kern w:val="0"/>
          <w:sz w:val="22"/>
          <w:szCs w:val="22"/>
        </w:rPr>
      </w:pPr>
      <w:r>
        <w:rPr>
          <w:rFonts w:eastAsia="黑体"/>
          <w:b/>
          <w:bCs/>
          <w:kern w:val="0"/>
          <w:sz w:val="22"/>
          <w:szCs w:val="22"/>
        </w:rPr>
        <w:t>Framework of multi-SSBs based operation</w:t>
      </w:r>
    </w:p>
    <w:p w:rsidR="001554A1" w:rsidRDefault="00FE1B65">
      <w:pPr>
        <w:spacing w:before="120" w:after="120"/>
        <w:rPr>
          <w:sz w:val="20"/>
        </w:rPr>
      </w:pPr>
      <w:r>
        <w:rPr>
          <w:sz w:val="20"/>
        </w:rPr>
        <w:t xml:space="preserve">In addition to basic structure mentioned in section 3.1, more aspects should be supported in Day-1 design for synchronization signal/channel. For example, as identified in following cases, the SSB operation with forward compatibility needs to be supported: </w:t>
      </w:r>
    </w:p>
    <w:p w:rsidR="001554A1" w:rsidRDefault="00FE1B65">
      <w:pPr>
        <w:numPr>
          <w:ilvl w:val="0"/>
          <w:numId w:val="10"/>
        </w:numPr>
        <w:tabs>
          <w:tab w:val="clear" w:pos="840"/>
          <w:tab w:val="left" w:pos="420"/>
        </w:tabs>
        <w:spacing w:before="120" w:after="120"/>
        <w:ind w:left="840"/>
        <w:rPr>
          <w:sz w:val="20"/>
        </w:rPr>
      </w:pPr>
      <w:r>
        <w:rPr>
          <w:sz w:val="20"/>
        </w:rPr>
        <w:t xml:space="preserve">Case 1: For a deployment with narrowband operation, the reception of MIB information may be degraded since only part of information is available. In addition, as mentioned above, the dedicated design based on narrow band assumption will also lead to low efficiency for resource utilization. Then, enhanced approach, e.g., cross multi-SSB is one </w:t>
      </w:r>
      <w:r>
        <w:rPr>
          <w:rFonts w:hint="eastAsia"/>
          <w:sz w:val="20"/>
        </w:rPr>
        <w:t>promising</w:t>
      </w:r>
      <w:r>
        <w:rPr>
          <w:sz w:val="20"/>
        </w:rPr>
        <w:t xml:space="preserve"> way to ensure the reliable transmission of a complete SSB. For example, as shown in Figure </w:t>
      </w:r>
      <w:r w:rsidR="007E2641">
        <w:rPr>
          <w:sz w:val="20"/>
        </w:rPr>
        <w:t>3.2-1</w:t>
      </w:r>
      <w:r>
        <w:rPr>
          <w:sz w:val="20"/>
        </w:rPr>
        <w:t>, in the case that part of SSB BW still exceeds carrier bandwidth, enhanced MIB mapping along with punctur</w:t>
      </w:r>
      <w:r w:rsidR="005E586F">
        <w:rPr>
          <w:sz w:val="20"/>
        </w:rPr>
        <w:t>ed</w:t>
      </w:r>
      <w:r>
        <w:rPr>
          <w:sz w:val="20"/>
        </w:rPr>
        <w:t xml:space="preserve"> SSB </w:t>
      </w:r>
      <w:r w:rsidR="005E586F">
        <w:rPr>
          <w:sz w:val="20"/>
        </w:rPr>
        <w:t>reception</w:t>
      </w:r>
      <w:r>
        <w:rPr>
          <w:sz w:val="20"/>
        </w:rPr>
        <w:t xml:space="preserve"> can be further considered based on the trade-off between performance and complexity. </w:t>
      </w:r>
    </w:p>
    <w:p w:rsidR="001554A1" w:rsidRDefault="00FE1B65">
      <w:pPr>
        <w:spacing w:before="120" w:after="120"/>
        <w:jc w:val="center"/>
      </w:pPr>
      <w:r>
        <w:rPr>
          <w:noProof/>
        </w:rPr>
        <w:lastRenderedPageBreak/>
        <w:drawing>
          <wp:inline distT="0" distB="0" distL="114300" distR="114300">
            <wp:extent cx="4867910" cy="1226820"/>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4876941" cy="1229156"/>
                    </a:xfrm>
                    <a:prstGeom prst="rect">
                      <a:avLst/>
                    </a:prstGeom>
                    <a:noFill/>
                    <a:ln>
                      <a:noFill/>
                    </a:ln>
                  </pic:spPr>
                </pic:pic>
              </a:graphicData>
            </a:graphic>
          </wp:inline>
        </w:drawing>
      </w:r>
    </w:p>
    <w:p w:rsidR="001554A1" w:rsidRDefault="00FE1B65">
      <w:pPr>
        <w:pStyle w:val="a4"/>
        <w:spacing w:before="120" w:after="120"/>
        <w:jc w:val="center"/>
        <w:rPr>
          <w:rFonts w:ascii="Times New Roman" w:hAnsi="Times New Roman"/>
          <w:szCs w:val="18"/>
        </w:rPr>
      </w:pPr>
      <w:r>
        <w:rPr>
          <w:rFonts w:ascii="Times New Roman" w:hAnsi="Times New Roman"/>
        </w:rPr>
        <w:t xml:space="preserve">Figure </w:t>
      </w:r>
      <w:r w:rsidR="007E2641">
        <w:rPr>
          <w:rFonts w:ascii="Times New Roman" w:hAnsi="Times New Roman"/>
        </w:rPr>
        <w:t>3.2-1</w:t>
      </w:r>
      <w:r>
        <w:rPr>
          <w:rFonts w:ascii="Times New Roman" w:hAnsi="Times New Roman"/>
        </w:rPr>
        <w:t xml:space="preserve">: </w:t>
      </w:r>
      <w:r>
        <w:rPr>
          <w:rFonts w:ascii="Times New Roman" w:hAnsi="Times New Roman"/>
          <w:szCs w:val="18"/>
        </w:rPr>
        <w:t>Compatible approach to enable the narrowband operation</w:t>
      </w:r>
    </w:p>
    <w:p w:rsidR="001554A1" w:rsidRDefault="00FE1B65" w:rsidP="00A14A70">
      <w:pPr>
        <w:numPr>
          <w:ilvl w:val="0"/>
          <w:numId w:val="10"/>
        </w:numPr>
        <w:tabs>
          <w:tab w:val="clear" w:pos="840"/>
          <w:tab w:val="left" w:pos="420"/>
        </w:tabs>
        <w:spacing w:before="120" w:after="120"/>
        <w:ind w:left="840"/>
        <w:rPr>
          <w:sz w:val="20"/>
        </w:rPr>
      </w:pPr>
      <w:r>
        <w:rPr>
          <w:sz w:val="20"/>
        </w:rPr>
        <w:t>Case 2: For deployment with needs to improve coverage</w:t>
      </w:r>
      <w:r w:rsidR="00475D38">
        <w:rPr>
          <w:sz w:val="20"/>
        </w:rPr>
        <w:t xml:space="preserve"> for different scenarios</w:t>
      </w:r>
      <w:r>
        <w:rPr>
          <w:sz w:val="20"/>
        </w:rPr>
        <w:t xml:space="preserve">, e.g., U6GHz, NTN or IoT deployment. The performance based on single SSB reception may not be sufficient. Typically, the combined reception over multiple SSB transmission periods can effectively enhance reliability. As highlighted in section 3.1.2, there are also strong motivation to in 6GR to introduce a larger SSB periodicity. Then, the cross-period combination may lead to higher complexity at UE side, e.g., a larger buffer size. As a trade-off, </w:t>
      </w:r>
      <w:r>
        <w:rPr>
          <w:rFonts w:hint="eastAsia"/>
          <w:sz w:val="20"/>
        </w:rPr>
        <w:t>intra-period combination reception or PBCH mapping across multiple SSBs within a SSB transmission period c</w:t>
      </w:r>
      <w:r>
        <w:rPr>
          <w:sz w:val="20"/>
        </w:rPr>
        <w:t>an be considered</w:t>
      </w:r>
      <w:r>
        <w:rPr>
          <w:rFonts w:hint="eastAsia"/>
          <w:sz w:val="20"/>
        </w:rPr>
        <w:t xml:space="preserve"> as shown in Figure </w:t>
      </w:r>
      <w:r w:rsidR="00FF03D5">
        <w:rPr>
          <w:sz w:val="20"/>
        </w:rPr>
        <w:t>3.2-2</w:t>
      </w:r>
      <w:r>
        <w:rPr>
          <w:rFonts w:hint="eastAsia"/>
          <w:sz w:val="20"/>
        </w:rPr>
        <w:t>.</w:t>
      </w:r>
      <w:r>
        <w:rPr>
          <w:sz w:val="20"/>
        </w:rPr>
        <w:t xml:space="preserve"> For example, with establishment of relationship among multiple SSBs within the SSB transmission period, thereby achieving intra-period combination, is a feasible approach to be considered.</w:t>
      </w:r>
      <w:r>
        <w:rPr>
          <w:rFonts w:hint="eastAsia"/>
          <w:sz w:val="20"/>
        </w:rPr>
        <w:t xml:space="preserve"> For instance, an approximate 3 dB gain can be achieved through combined reception with two times.</w:t>
      </w:r>
      <w:r>
        <w:rPr>
          <w:sz w:val="20"/>
        </w:rPr>
        <w:t xml:space="preserve"> Additionally, synchronization performance will also be enhanced.</w:t>
      </w:r>
    </w:p>
    <w:p w:rsidR="001554A1" w:rsidRDefault="00FE1B65">
      <w:pPr>
        <w:spacing w:before="120" w:after="120"/>
        <w:jc w:val="center"/>
      </w:pPr>
      <w:r>
        <w:rPr>
          <w:noProof/>
        </w:rPr>
        <w:drawing>
          <wp:inline distT="0" distB="0" distL="114300" distR="114300">
            <wp:extent cx="3002280" cy="1180465"/>
            <wp:effectExtent l="0" t="0" r="7620" b="6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4"/>
                    <a:stretch>
                      <a:fillRect/>
                    </a:stretch>
                  </pic:blipFill>
                  <pic:spPr>
                    <a:xfrm>
                      <a:off x="0" y="0"/>
                      <a:ext cx="3010601" cy="1183743"/>
                    </a:xfrm>
                    <a:prstGeom prst="rect">
                      <a:avLst/>
                    </a:prstGeom>
                    <a:noFill/>
                    <a:ln>
                      <a:noFill/>
                    </a:ln>
                  </pic:spPr>
                </pic:pic>
              </a:graphicData>
            </a:graphic>
          </wp:inline>
        </w:drawing>
      </w:r>
    </w:p>
    <w:p w:rsidR="001554A1" w:rsidRPr="00BA0E2D" w:rsidRDefault="00FE1B65">
      <w:pPr>
        <w:numPr>
          <w:ilvl w:val="255"/>
          <w:numId w:val="0"/>
        </w:numPr>
        <w:spacing w:before="120" w:after="120"/>
        <w:jc w:val="center"/>
        <w:rPr>
          <w:sz w:val="18"/>
        </w:rPr>
      </w:pPr>
      <w:r w:rsidRPr="00BA0E2D">
        <w:rPr>
          <w:sz w:val="20"/>
        </w:rPr>
        <w:t xml:space="preserve">Figure </w:t>
      </w:r>
      <w:r w:rsidR="001B77B1">
        <w:rPr>
          <w:sz w:val="20"/>
        </w:rPr>
        <w:t>3.2-2</w:t>
      </w:r>
      <w:r w:rsidRPr="00BA0E2D">
        <w:rPr>
          <w:rFonts w:hint="eastAsia"/>
          <w:sz w:val="20"/>
        </w:rPr>
        <w:t>:</w:t>
      </w:r>
      <w:r w:rsidRPr="00BA0E2D">
        <w:rPr>
          <w:sz w:val="20"/>
        </w:rPr>
        <w:t xml:space="preserve"> </w:t>
      </w:r>
      <w:r w:rsidRPr="00BA0E2D">
        <w:rPr>
          <w:sz w:val="20"/>
          <w:szCs w:val="18"/>
        </w:rPr>
        <w:t>Compatible approach to enable the intra-period combination</w:t>
      </w:r>
    </w:p>
    <w:p w:rsidR="002815AB" w:rsidRDefault="002815AB" w:rsidP="002815AB">
      <w:pPr>
        <w:numPr>
          <w:ilvl w:val="0"/>
          <w:numId w:val="10"/>
        </w:numPr>
        <w:tabs>
          <w:tab w:val="clear" w:pos="840"/>
          <w:tab w:val="left" w:pos="420"/>
        </w:tabs>
        <w:spacing w:before="120" w:after="120"/>
        <w:ind w:left="840"/>
        <w:rPr>
          <w:sz w:val="20"/>
        </w:rPr>
      </w:pPr>
      <w:r>
        <w:rPr>
          <w:rFonts w:hint="eastAsia"/>
          <w:sz w:val="20"/>
        </w:rPr>
        <w:t xml:space="preserve">Case </w:t>
      </w:r>
      <w:r>
        <w:rPr>
          <w:sz w:val="20"/>
        </w:rPr>
        <w:t>3</w:t>
      </w:r>
      <w:r>
        <w:rPr>
          <w:rFonts w:hint="eastAsia"/>
          <w:sz w:val="20"/>
        </w:rPr>
        <w:t>: For c</w:t>
      </w:r>
      <w:r>
        <w:rPr>
          <w:sz w:val="20"/>
        </w:rPr>
        <w:t>ell-free</w:t>
      </w:r>
      <w:r w:rsidR="00047A95">
        <w:rPr>
          <w:sz w:val="20"/>
        </w:rPr>
        <w:t>/mTRP</w:t>
      </w:r>
      <w:r>
        <w:rPr>
          <w:sz w:val="20"/>
        </w:rPr>
        <w:t xml:space="preserve"> </w:t>
      </w:r>
      <w:r>
        <w:rPr>
          <w:rFonts w:hint="eastAsia"/>
          <w:sz w:val="20"/>
        </w:rPr>
        <w:t>based</w:t>
      </w:r>
      <w:r>
        <w:rPr>
          <w:sz w:val="20"/>
        </w:rPr>
        <w:t xml:space="preserve"> operation, one essential aspect is to enable the </w:t>
      </w:r>
      <w:r>
        <w:rPr>
          <w:rFonts w:hint="eastAsia"/>
          <w:sz w:val="20"/>
        </w:rPr>
        <w:t>identification</w:t>
      </w:r>
      <w:r>
        <w:rPr>
          <w:sz w:val="20"/>
        </w:rPr>
        <w:t xml:space="preserve"> of TRPs at </w:t>
      </w:r>
      <w:r>
        <w:rPr>
          <w:rFonts w:hint="eastAsia"/>
          <w:sz w:val="20"/>
        </w:rPr>
        <w:t>earl</w:t>
      </w:r>
      <w:r>
        <w:rPr>
          <w:sz w:val="20"/>
        </w:rPr>
        <w:t xml:space="preserve">y stage. In this case, along with the increased SSB </w:t>
      </w:r>
      <w:r>
        <w:rPr>
          <w:rFonts w:hint="eastAsia"/>
          <w:sz w:val="20"/>
        </w:rPr>
        <w:t>capacity</w:t>
      </w:r>
      <w:r>
        <w:rPr>
          <w:sz w:val="20"/>
        </w:rPr>
        <w:t xml:space="preserve"> as </w:t>
      </w:r>
      <w:r>
        <w:rPr>
          <w:rFonts w:hint="eastAsia"/>
          <w:sz w:val="20"/>
        </w:rPr>
        <w:t>mentioned</w:t>
      </w:r>
      <w:r>
        <w:rPr>
          <w:sz w:val="20"/>
        </w:rPr>
        <w:t xml:space="preserve"> in Section 3.1.3, the multi-SSB bas</w:t>
      </w:r>
      <w:r>
        <w:rPr>
          <w:rFonts w:hint="eastAsia"/>
          <w:sz w:val="20"/>
        </w:rPr>
        <w:t>e</w:t>
      </w:r>
      <w:r>
        <w:rPr>
          <w:sz w:val="20"/>
        </w:rPr>
        <w:t xml:space="preserve">d approach is </w:t>
      </w:r>
      <w:r>
        <w:rPr>
          <w:rFonts w:hint="eastAsia"/>
          <w:sz w:val="20"/>
        </w:rPr>
        <w:t>an easy</w:t>
      </w:r>
      <w:r>
        <w:rPr>
          <w:sz w:val="20"/>
        </w:rPr>
        <w:t xml:space="preserve"> way to </w:t>
      </w:r>
      <w:r>
        <w:rPr>
          <w:rFonts w:hint="eastAsia"/>
          <w:sz w:val="20"/>
        </w:rPr>
        <w:t>achieve</w:t>
      </w:r>
      <w:r>
        <w:rPr>
          <w:sz w:val="20"/>
        </w:rPr>
        <w:t xml:space="preserve"> the indication of cell/TRPs. For example, each of SSB in a group can represent one of TRP. Additionally, the combination of SFN and TRP identification can also be achieved by the transmission of SSBs within one group in different occasions</w:t>
      </w:r>
      <w:r>
        <w:rPr>
          <w:rFonts w:hint="eastAsia"/>
          <w:sz w:val="20"/>
        </w:rPr>
        <w:t xml:space="preserve">. </w:t>
      </w:r>
    </w:p>
    <w:p w:rsidR="001554A1" w:rsidRDefault="00FE1B65">
      <w:pPr>
        <w:numPr>
          <w:ilvl w:val="0"/>
          <w:numId w:val="10"/>
        </w:numPr>
        <w:tabs>
          <w:tab w:val="clear" w:pos="840"/>
          <w:tab w:val="left" w:pos="420"/>
        </w:tabs>
        <w:spacing w:before="120" w:after="120"/>
        <w:ind w:left="840"/>
        <w:rPr>
          <w:sz w:val="20"/>
        </w:rPr>
      </w:pPr>
      <w:r>
        <w:rPr>
          <w:rFonts w:hint="eastAsia"/>
          <w:sz w:val="20"/>
        </w:rPr>
        <w:t xml:space="preserve">Case </w:t>
      </w:r>
      <w:r>
        <w:rPr>
          <w:sz w:val="20"/>
        </w:rPr>
        <w:t xml:space="preserve">4: For the deployment with additional reference signal for other purposes, e.g., measurement, mobility and finer synchronization achievement. The multi-SSBs based approach is also feasible to enable it with different transmission parameters, e.g., period, structure, etc. For example, in case of deployment of multi-carrier within one cell or </w:t>
      </w:r>
      <w:r>
        <w:rPr>
          <w:rFonts w:hint="eastAsia"/>
          <w:sz w:val="20"/>
        </w:rPr>
        <w:t>aggregated</w:t>
      </w:r>
      <w:r>
        <w:rPr>
          <w:sz w:val="20"/>
        </w:rPr>
        <w:t xml:space="preserve"> operation cross cells in initial access stage, different SSB may be transmitted in same or different carrier/cells. For example, full-structured SSBs are periodically transmitted via the anchor carrier, while lean SSBs, e.g., only including PSS/SSS, are transmitted by the non-anchor carrier at different periods or in an on-demand manner to provide uplink transmission references.</w:t>
      </w:r>
    </w:p>
    <w:p w:rsidR="001554A1" w:rsidRDefault="00FE1B65">
      <w:pPr>
        <w:spacing w:before="120" w:after="120"/>
        <w:rPr>
          <w:sz w:val="20"/>
        </w:rPr>
      </w:pPr>
      <w:r>
        <w:rPr>
          <w:sz w:val="20"/>
        </w:rPr>
        <w:t xml:space="preserve">Then, as </w:t>
      </w:r>
      <w:r>
        <w:rPr>
          <w:rFonts w:hint="eastAsia"/>
          <w:sz w:val="20"/>
        </w:rPr>
        <w:t>identified</w:t>
      </w:r>
      <w:r>
        <w:rPr>
          <w:sz w:val="20"/>
        </w:rPr>
        <w:t xml:space="preserve"> </w:t>
      </w:r>
      <w:r>
        <w:rPr>
          <w:rFonts w:hint="eastAsia"/>
          <w:sz w:val="20"/>
        </w:rPr>
        <w:t>above</w:t>
      </w:r>
      <w:r>
        <w:rPr>
          <w:sz w:val="20"/>
        </w:rPr>
        <w:t>, the multi-</w:t>
      </w:r>
      <w:r>
        <w:rPr>
          <w:rFonts w:hint="eastAsia"/>
          <w:sz w:val="20"/>
        </w:rPr>
        <w:t>SSB</w:t>
      </w:r>
      <w:r>
        <w:rPr>
          <w:sz w:val="20"/>
        </w:rPr>
        <w:t>s</w:t>
      </w:r>
      <w:r>
        <w:rPr>
          <w:rFonts w:hint="eastAsia"/>
          <w:sz w:val="20"/>
        </w:rPr>
        <w:t xml:space="preserve"> </w:t>
      </w:r>
      <w:r>
        <w:rPr>
          <w:sz w:val="20"/>
        </w:rPr>
        <w:t xml:space="preserve">based approach (e.g., group of SSBs) should be studied as a general framework for 6G synchronization signal/channel design with following </w:t>
      </w:r>
      <w:r>
        <w:rPr>
          <w:rFonts w:hint="eastAsia"/>
          <w:sz w:val="20"/>
        </w:rPr>
        <w:t>feature</w:t>
      </w:r>
      <w:r>
        <w:rPr>
          <w:sz w:val="20"/>
        </w:rPr>
        <w:t xml:space="preserve">s and </w:t>
      </w:r>
      <w:r>
        <w:rPr>
          <w:rFonts w:hint="eastAsia"/>
          <w:sz w:val="20"/>
        </w:rPr>
        <w:t>benefits</w:t>
      </w:r>
      <w:r>
        <w:rPr>
          <w:sz w:val="20"/>
        </w:rPr>
        <w:t>:</w:t>
      </w:r>
    </w:p>
    <w:p w:rsidR="001554A1" w:rsidRDefault="00FE1B65">
      <w:pPr>
        <w:snapToGrid w:val="0"/>
        <w:spacing w:before="120" w:after="120"/>
        <w:rPr>
          <w:b/>
          <w:bCs/>
          <w:i/>
          <w:sz w:val="20"/>
        </w:rPr>
      </w:pPr>
      <w:r>
        <w:rPr>
          <w:b/>
          <w:bCs/>
          <w:i/>
          <w:sz w:val="20"/>
        </w:rPr>
        <w:t>#Featur</w:t>
      </w:r>
      <w:r>
        <w:rPr>
          <w:rFonts w:hint="eastAsia"/>
          <w:b/>
          <w:bCs/>
          <w:i/>
          <w:sz w:val="20"/>
        </w:rPr>
        <w:t>e</w:t>
      </w:r>
      <w:r>
        <w:rPr>
          <w:b/>
          <w:bCs/>
          <w:i/>
          <w:sz w:val="20"/>
        </w:rPr>
        <w:t>-1: Cross SSB</w:t>
      </w:r>
      <w:r>
        <w:rPr>
          <w:rFonts w:hint="eastAsia"/>
          <w:b/>
          <w:bCs/>
          <w:i/>
          <w:sz w:val="20"/>
        </w:rPr>
        <w:t>s</w:t>
      </w:r>
      <w:r>
        <w:rPr>
          <w:b/>
          <w:bCs/>
          <w:i/>
          <w:sz w:val="20"/>
        </w:rPr>
        <w:t xml:space="preserve"> mapping/processing</w:t>
      </w:r>
    </w:p>
    <w:p w:rsidR="001554A1" w:rsidRDefault="00FE1B65">
      <w:pPr>
        <w:snapToGrid w:val="0"/>
        <w:spacing w:before="120" w:after="120"/>
        <w:rPr>
          <w:bCs/>
          <w:iCs/>
          <w:sz w:val="20"/>
        </w:rPr>
      </w:pPr>
      <w:r>
        <w:rPr>
          <w:bCs/>
          <w:iCs/>
          <w:sz w:val="20"/>
        </w:rPr>
        <w:t xml:space="preserve">As indicated for both </w:t>
      </w:r>
      <w:r>
        <w:rPr>
          <w:rFonts w:hint="eastAsia"/>
          <w:sz w:val="20"/>
        </w:rPr>
        <w:t>Case</w:t>
      </w:r>
      <w:r>
        <w:rPr>
          <w:sz w:val="20"/>
        </w:rPr>
        <w:t>-</w:t>
      </w:r>
      <w:r>
        <w:rPr>
          <w:rFonts w:hint="eastAsia"/>
          <w:bCs/>
          <w:iCs/>
          <w:sz w:val="20"/>
        </w:rPr>
        <w:t xml:space="preserve">1 and 2, </w:t>
      </w:r>
      <w:r>
        <w:rPr>
          <w:bCs/>
          <w:iCs/>
          <w:sz w:val="20"/>
        </w:rPr>
        <w:t>the enhanced mapping of MIB cross different SSBs within one group is beneficial t</w:t>
      </w:r>
      <w:r>
        <w:rPr>
          <w:rFonts w:hint="eastAsia"/>
          <w:bCs/>
          <w:iCs/>
          <w:sz w:val="20"/>
        </w:rPr>
        <w:t xml:space="preserve">o ensure reliably </w:t>
      </w:r>
      <w:r w:rsidR="0033662A">
        <w:rPr>
          <w:rFonts w:hint="eastAsia"/>
          <w:bCs/>
          <w:iCs/>
          <w:sz w:val="20"/>
        </w:rPr>
        <w:t>reception</w:t>
      </w:r>
      <w:r w:rsidR="0033662A">
        <w:rPr>
          <w:bCs/>
          <w:iCs/>
          <w:sz w:val="20"/>
        </w:rPr>
        <w:t xml:space="preserve"> of MIB</w:t>
      </w:r>
      <w:r>
        <w:rPr>
          <w:bCs/>
          <w:iCs/>
          <w:sz w:val="20"/>
        </w:rPr>
        <w:t xml:space="preserve"> as shown in Figure </w:t>
      </w:r>
      <w:r w:rsidR="00904DF9">
        <w:rPr>
          <w:bCs/>
          <w:iCs/>
          <w:sz w:val="20"/>
        </w:rPr>
        <w:t>3.2-3</w:t>
      </w:r>
      <w:r>
        <w:rPr>
          <w:rFonts w:hint="eastAsia"/>
          <w:bCs/>
          <w:iCs/>
          <w:sz w:val="20"/>
        </w:rPr>
        <w:t xml:space="preserve">. </w:t>
      </w:r>
      <w:r>
        <w:rPr>
          <w:bCs/>
          <w:iCs/>
          <w:sz w:val="20"/>
        </w:rPr>
        <w:t xml:space="preserve">In this case, either the overall </w:t>
      </w:r>
      <w:r>
        <w:rPr>
          <w:rFonts w:hint="eastAsia"/>
          <w:bCs/>
          <w:iCs/>
          <w:sz w:val="20"/>
        </w:rPr>
        <w:t>bit rate</w:t>
      </w:r>
      <w:r>
        <w:rPr>
          <w:bCs/>
          <w:iCs/>
          <w:sz w:val="20"/>
        </w:rPr>
        <w:t xml:space="preserve"> of PBCH can be reduced or enlarged MIB payload can be supported. Addition</w:t>
      </w:r>
      <w:r>
        <w:rPr>
          <w:rFonts w:hint="eastAsia"/>
          <w:bCs/>
          <w:iCs/>
          <w:sz w:val="20"/>
        </w:rPr>
        <w:t>a</w:t>
      </w:r>
      <w:r>
        <w:rPr>
          <w:bCs/>
          <w:iCs/>
          <w:sz w:val="20"/>
        </w:rPr>
        <w:t>lly, robust operation to overcome the information loss, e.g., punctured operation for narrow band as mentioned above can also be achieved.</w:t>
      </w:r>
      <w:r>
        <w:rPr>
          <w:rFonts w:hint="eastAsia"/>
          <w:bCs/>
          <w:iCs/>
          <w:sz w:val="20"/>
        </w:rPr>
        <w:t xml:space="preserve"> </w:t>
      </w:r>
    </w:p>
    <w:p w:rsidR="001554A1" w:rsidRDefault="00FE1B65">
      <w:pPr>
        <w:snapToGrid w:val="0"/>
        <w:spacing w:before="120" w:after="120"/>
        <w:jc w:val="center"/>
        <w:rPr>
          <w:bCs/>
          <w:iCs/>
          <w:sz w:val="20"/>
        </w:rPr>
      </w:pPr>
      <w:r>
        <w:rPr>
          <w:bCs/>
          <w:iCs/>
          <w:noProof/>
          <w:sz w:val="20"/>
        </w:rPr>
        <w:lastRenderedPageBreak/>
        <w:drawing>
          <wp:inline distT="0" distB="0" distL="0" distR="0">
            <wp:extent cx="852805" cy="7975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83241" cy="826542"/>
                    </a:xfrm>
                    <a:prstGeom prst="rect">
                      <a:avLst/>
                    </a:prstGeom>
                    <a:noFill/>
                  </pic:spPr>
                </pic:pic>
              </a:graphicData>
            </a:graphic>
          </wp:inline>
        </w:drawing>
      </w:r>
    </w:p>
    <w:p w:rsidR="001554A1" w:rsidRDefault="00FE1B65">
      <w:pPr>
        <w:pStyle w:val="a4"/>
        <w:spacing w:before="120" w:after="120"/>
        <w:jc w:val="center"/>
        <w:rPr>
          <w:rFonts w:ascii="Times New Roman" w:hAnsi="Times New Roman"/>
          <w:szCs w:val="18"/>
        </w:rPr>
      </w:pPr>
      <w:r>
        <w:rPr>
          <w:rFonts w:ascii="Times New Roman" w:hAnsi="Times New Roman"/>
        </w:rPr>
        <w:t xml:space="preserve">Figure </w:t>
      </w:r>
      <w:r w:rsidR="00904DF9">
        <w:rPr>
          <w:rFonts w:ascii="Times New Roman" w:hAnsi="Times New Roman"/>
        </w:rPr>
        <w:t>3.2-3</w:t>
      </w:r>
      <w:r>
        <w:rPr>
          <w:rFonts w:ascii="Times New Roman" w:hAnsi="Times New Roman"/>
        </w:rPr>
        <w:t xml:space="preserve">: </w:t>
      </w:r>
      <w:r>
        <w:rPr>
          <w:rFonts w:ascii="Times New Roman" w:hAnsi="Times New Roman"/>
          <w:szCs w:val="18"/>
        </w:rPr>
        <w:t>Illustration of the cross SSBs mapping/processing</w:t>
      </w:r>
    </w:p>
    <w:p w:rsidR="001948EC" w:rsidRDefault="001948EC" w:rsidP="002D7561">
      <w:pPr>
        <w:snapToGrid w:val="0"/>
        <w:spacing w:before="120" w:after="120"/>
        <w:rPr>
          <w:sz w:val="20"/>
        </w:rPr>
      </w:pPr>
      <w:r>
        <w:rPr>
          <w:bCs/>
          <w:iCs/>
          <w:sz w:val="20"/>
        </w:rPr>
        <w:t>F</w:t>
      </w:r>
      <w:r>
        <w:rPr>
          <w:rFonts w:hint="eastAsia"/>
          <w:bCs/>
          <w:iCs/>
          <w:sz w:val="20"/>
        </w:rPr>
        <w:t>o</w:t>
      </w:r>
      <w:r>
        <w:rPr>
          <w:bCs/>
          <w:iCs/>
          <w:sz w:val="20"/>
        </w:rPr>
        <w:t xml:space="preserve">r example, </w:t>
      </w:r>
      <w:r>
        <w:rPr>
          <w:rFonts w:hint="eastAsia"/>
          <w:bCs/>
          <w:iCs/>
          <w:sz w:val="20"/>
        </w:rPr>
        <w:t xml:space="preserve">PBCH performance under different </w:t>
      </w:r>
      <w:r>
        <w:rPr>
          <w:bCs/>
          <w:iCs/>
          <w:sz w:val="20"/>
        </w:rPr>
        <w:t>assumption are evaluated with results shown in</w:t>
      </w:r>
      <w:r>
        <w:rPr>
          <w:rFonts w:hint="eastAsia"/>
          <w:bCs/>
          <w:iCs/>
          <w:sz w:val="20"/>
        </w:rPr>
        <w:t xml:space="preserve"> Table 3</w:t>
      </w:r>
      <w:r>
        <w:rPr>
          <w:bCs/>
          <w:iCs/>
          <w:sz w:val="20"/>
        </w:rPr>
        <w:t>.2-1</w:t>
      </w:r>
      <w:r>
        <w:rPr>
          <w:rFonts w:hint="eastAsia"/>
          <w:bCs/>
          <w:iCs/>
          <w:sz w:val="20"/>
        </w:rPr>
        <w:t xml:space="preserve">. </w:t>
      </w:r>
      <w:r w:rsidR="002D7561">
        <w:rPr>
          <w:bCs/>
          <w:iCs/>
          <w:sz w:val="20"/>
        </w:rPr>
        <w:t xml:space="preserve">It can be found that </w:t>
      </w:r>
      <w:r w:rsidR="001E18FC">
        <w:rPr>
          <w:bCs/>
          <w:iCs/>
          <w:sz w:val="20"/>
        </w:rPr>
        <w:t xml:space="preserve">in case of </w:t>
      </w:r>
      <w:r w:rsidR="00426048">
        <w:rPr>
          <w:rFonts w:hint="eastAsia"/>
          <w:bCs/>
          <w:iCs/>
          <w:sz w:val="20"/>
        </w:rPr>
        <w:t>punctured</w:t>
      </w:r>
      <w:r w:rsidR="00426048">
        <w:rPr>
          <w:bCs/>
          <w:iCs/>
          <w:sz w:val="20"/>
        </w:rPr>
        <w:t xml:space="preserve"> reception (i.e., narrow band operation)</w:t>
      </w:r>
      <w:r w:rsidR="00AB6090">
        <w:rPr>
          <w:bCs/>
          <w:iCs/>
          <w:sz w:val="20"/>
        </w:rPr>
        <w:t xml:space="preserve"> for both Case 1 </w:t>
      </w:r>
      <w:r w:rsidR="00AB6090">
        <w:rPr>
          <w:rFonts w:hint="eastAsia"/>
          <w:bCs/>
          <w:iCs/>
          <w:sz w:val="20"/>
        </w:rPr>
        <w:t>a</w:t>
      </w:r>
      <w:r w:rsidR="00AB6090">
        <w:rPr>
          <w:bCs/>
          <w:iCs/>
          <w:sz w:val="20"/>
        </w:rPr>
        <w:t>nd Case 2</w:t>
      </w:r>
      <w:r w:rsidR="00426048">
        <w:rPr>
          <w:bCs/>
          <w:iCs/>
          <w:sz w:val="20"/>
        </w:rPr>
        <w:t>, PBCH with mapping cross 2 SSBs</w:t>
      </w:r>
      <w:r w:rsidR="00340425">
        <w:rPr>
          <w:bCs/>
          <w:iCs/>
          <w:sz w:val="20"/>
        </w:rPr>
        <w:t xml:space="preserve"> (i.e., Case 1)</w:t>
      </w:r>
      <w:r w:rsidR="00426048">
        <w:rPr>
          <w:bCs/>
          <w:iCs/>
          <w:sz w:val="20"/>
        </w:rPr>
        <w:t xml:space="preserve"> can </w:t>
      </w:r>
      <w:r w:rsidR="00426048">
        <w:rPr>
          <w:rFonts w:hint="eastAsia"/>
          <w:bCs/>
          <w:iCs/>
          <w:sz w:val="20"/>
        </w:rPr>
        <w:t>achieve</w:t>
      </w:r>
      <w:r w:rsidR="00426048">
        <w:rPr>
          <w:bCs/>
          <w:iCs/>
          <w:sz w:val="20"/>
        </w:rPr>
        <w:t xml:space="preserve"> a </w:t>
      </w:r>
      <w:r w:rsidR="00426048">
        <w:rPr>
          <w:rFonts w:hint="eastAsia"/>
          <w:bCs/>
          <w:iCs/>
          <w:sz w:val="20"/>
        </w:rPr>
        <w:t>comparable</w:t>
      </w:r>
      <w:r w:rsidR="00426048">
        <w:rPr>
          <w:bCs/>
          <w:iCs/>
          <w:sz w:val="20"/>
        </w:rPr>
        <w:t xml:space="preserve"> performance </w:t>
      </w:r>
      <w:r w:rsidR="00970059">
        <w:rPr>
          <w:bCs/>
          <w:iCs/>
          <w:sz w:val="20"/>
        </w:rPr>
        <w:t>as</w:t>
      </w:r>
      <w:r w:rsidR="00426048">
        <w:rPr>
          <w:bCs/>
          <w:iCs/>
          <w:sz w:val="20"/>
        </w:rPr>
        <w:t xml:space="preserve"> </w:t>
      </w:r>
      <w:r w:rsidR="00D0330D">
        <w:rPr>
          <w:bCs/>
          <w:iCs/>
          <w:sz w:val="20"/>
        </w:rPr>
        <w:t>baseline (i.e.,</w:t>
      </w:r>
      <w:r w:rsidR="00970059">
        <w:rPr>
          <w:bCs/>
          <w:iCs/>
          <w:sz w:val="20"/>
        </w:rPr>
        <w:t xml:space="preserve"> s</w:t>
      </w:r>
      <w:r w:rsidR="002D7561">
        <w:rPr>
          <w:sz w:val="20"/>
        </w:rPr>
        <w:t xml:space="preserve">ingle </w:t>
      </w:r>
      <w:r>
        <w:rPr>
          <w:rFonts w:hint="eastAsia"/>
          <w:sz w:val="20"/>
        </w:rPr>
        <w:t>PBCH</w:t>
      </w:r>
      <w:r w:rsidR="00205497">
        <w:rPr>
          <w:sz w:val="20"/>
        </w:rPr>
        <w:t>@</w:t>
      </w:r>
      <w:r w:rsidR="00205497">
        <w:rPr>
          <w:rFonts w:hint="eastAsia"/>
          <w:sz w:val="20"/>
        </w:rPr>
        <w:t>20 RBs SSB</w:t>
      </w:r>
      <w:r>
        <w:rPr>
          <w:rFonts w:hint="eastAsia"/>
          <w:sz w:val="20"/>
        </w:rPr>
        <w:t xml:space="preserve"> </w:t>
      </w:r>
      <w:r w:rsidR="002D7561" w:rsidRPr="00D0330D">
        <w:rPr>
          <w:b/>
          <w:sz w:val="20"/>
        </w:rPr>
        <w:t>without</w:t>
      </w:r>
      <w:r w:rsidR="002D7561">
        <w:rPr>
          <w:sz w:val="20"/>
        </w:rPr>
        <w:t xml:space="preserve"> punctu</w:t>
      </w:r>
      <w:r w:rsidR="00D0330D">
        <w:rPr>
          <w:sz w:val="20"/>
        </w:rPr>
        <w:t>re)</w:t>
      </w:r>
      <w:r w:rsidR="00426048">
        <w:rPr>
          <w:sz w:val="20"/>
        </w:rPr>
        <w:t xml:space="preserve">, and has around 3.5 dB gain compared to </w:t>
      </w:r>
      <w:r w:rsidR="00387021">
        <w:rPr>
          <w:sz w:val="20"/>
        </w:rPr>
        <w:t>Case</w:t>
      </w:r>
      <w:r w:rsidR="00D077ED">
        <w:rPr>
          <w:sz w:val="20"/>
        </w:rPr>
        <w:t xml:space="preserve"> 2</w:t>
      </w:r>
      <w:r w:rsidR="00387021">
        <w:rPr>
          <w:sz w:val="20"/>
        </w:rPr>
        <w:t xml:space="preserve"> with simple </w:t>
      </w:r>
      <w:r w:rsidR="00D077ED">
        <w:rPr>
          <w:sz w:val="20"/>
        </w:rPr>
        <w:t>repetition</w:t>
      </w:r>
      <w:r w:rsidR="00426048">
        <w:rPr>
          <w:rFonts w:hint="eastAsia"/>
          <w:sz w:val="20"/>
        </w:rPr>
        <w:t>.</w:t>
      </w:r>
    </w:p>
    <w:p w:rsidR="001948EC" w:rsidRDefault="001948EC" w:rsidP="001948EC">
      <w:pPr>
        <w:snapToGrid w:val="0"/>
        <w:spacing w:before="120" w:after="120"/>
        <w:jc w:val="center"/>
        <w:rPr>
          <w:bCs/>
          <w:iCs/>
          <w:sz w:val="20"/>
        </w:rPr>
      </w:pPr>
      <w:r>
        <w:rPr>
          <w:rFonts w:hint="eastAsia"/>
          <w:bCs/>
          <w:iCs/>
          <w:sz w:val="20"/>
        </w:rPr>
        <w:t>Table 3</w:t>
      </w:r>
      <w:r>
        <w:rPr>
          <w:bCs/>
          <w:iCs/>
          <w:sz w:val="20"/>
        </w:rPr>
        <w:t>.2-1</w:t>
      </w:r>
      <w:r>
        <w:rPr>
          <w:rFonts w:hint="eastAsia"/>
          <w:bCs/>
          <w:iCs/>
          <w:sz w:val="20"/>
        </w:rPr>
        <w:t xml:space="preserve">: PBCH reception performance </w:t>
      </w:r>
    </w:p>
    <w:tbl>
      <w:tblPr>
        <w:tblStyle w:val="af3"/>
        <w:tblW w:w="7525" w:type="dxa"/>
        <w:jc w:val="center"/>
        <w:tblLook w:val="04A0" w:firstRow="1" w:lastRow="0" w:firstColumn="1" w:lastColumn="0" w:noHBand="0" w:noVBand="1"/>
      </w:tblPr>
      <w:tblGrid>
        <w:gridCol w:w="5524"/>
        <w:gridCol w:w="2001"/>
      </w:tblGrid>
      <w:tr w:rsidR="00795CF4" w:rsidTr="00795CF4">
        <w:trPr>
          <w:trHeight w:val="64"/>
          <w:jc w:val="center"/>
        </w:trPr>
        <w:tc>
          <w:tcPr>
            <w:tcW w:w="5524" w:type="dxa"/>
            <w:shd w:val="clear" w:color="auto" w:fill="auto"/>
            <w:vAlign w:val="center"/>
          </w:tcPr>
          <w:p w:rsidR="00795CF4" w:rsidRPr="00795CF4" w:rsidRDefault="00795CF4" w:rsidP="00795CF4">
            <w:pPr>
              <w:snapToGrid w:val="0"/>
              <w:spacing w:before="120" w:after="120" w:line="240" w:lineRule="auto"/>
              <w:jc w:val="center"/>
              <w:rPr>
                <w:sz w:val="20"/>
              </w:rPr>
            </w:pPr>
            <w:r w:rsidRPr="00795CF4">
              <w:rPr>
                <w:sz w:val="20"/>
              </w:rPr>
              <w:t>Case</w:t>
            </w:r>
          </w:p>
        </w:tc>
        <w:tc>
          <w:tcPr>
            <w:tcW w:w="2001" w:type="dxa"/>
            <w:shd w:val="clear" w:color="auto" w:fill="auto"/>
            <w:vAlign w:val="center"/>
          </w:tcPr>
          <w:p w:rsidR="00795CF4" w:rsidRPr="00795CF4" w:rsidRDefault="00795CF4" w:rsidP="00795CF4">
            <w:pPr>
              <w:snapToGrid w:val="0"/>
              <w:spacing w:before="120" w:after="120" w:line="240" w:lineRule="auto"/>
              <w:jc w:val="center"/>
              <w:rPr>
                <w:sz w:val="20"/>
              </w:rPr>
            </w:pPr>
            <w:r w:rsidRPr="00795CF4">
              <w:rPr>
                <w:rFonts w:eastAsia="等线" w:hint="eastAsia"/>
                <w:sz w:val="20"/>
              </w:rPr>
              <w:t xml:space="preserve">SNR </w:t>
            </w:r>
            <w:r w:rsidRPr="00795CF4">
              <w:rPr>
                <w:rFonts w:eastAsia="等线"/>
                <w:sz w:val="20"/>
              </w:rPr>
              <w:t>degradation</w:t>
            </w:r>
            <w:r w:rsidRPr="00795CF4">
              <w:rPr>
                <w:sz w:val="20"/>
              </w:rPr>
              <w:t xml:space="preserve"> @10% BLER</w:t>
            </w:r>
          </w:p>
        </w:tc>
      </w:tr>
      <w:tr w:rsidR="00795CF4" w:rsidTr="00795CF4">
        <w:trPr>
          <w:trHeight w:val="64"/>
          <w:jc w:val="center"/>
        </w:trPr>
        <w:tc>
          <w:tcPr>
            <w:tcW w:w="5524" w:type="dxa"/>
            <w:shd w:val="clear" w:color="auto" w:fill="auto"/>
            <w:vAlign w:val="center"/>
          </w:tcPr>
          <w:p w:rsidR="00795CF4" w:rsidRPr="00795CF4" w:rsidRDefault="00795CF4" w:rsidP="00795CF4">
            <w:pPr>
              <w:snapToGrid w:val="0"/>
              <w:spacing w:before="120" w:after="120" w:line="240" w:lineRule="auto"/>
              <w:jc w:val="center"/>
              <w:rPr>
                <w:rFonts w:eastAsia="等线"/>
                <w:b/>
                <w:sz w:val="20"/>
              </w:rPr>
            </w:pPr>
            <w:r w:rsidRPr="00795CF4">
              <w:rPr>
                <w:rFonts w:eastAsia="等线"/>
                <w:b/>
                <w:sz w:val="20"/>
              </w:rPr>
              <w:t>B</w:t>
            </w:r>
            <w:r w:rsidRPr="00795CF4">
              <w:rPr>
                <w:rFonts w:eastAsia="等线" w:hint="eastAsia"/>
                <w:b/>
                <w:sz w:val="20"/>
              </w:rPr>
              <w:t>aseline</w:t>
            </w:r>
            <w:r w:rsidRPr="00795CF4">
              <w:rPr>
                <w:rFonts w:eastAsia="等线"/>
                <w:b/>
                <w:sz w:val="20"/>
              </w:rPr>
              <w:t>:</w:t>
            </w:r>
          </w:p>
          <w:p w:rsidR="00795CF4" w:rsidRPr="00795CF4" w:rsidRDefault="00795CF4" w:rsidP="00795CF4">
            <w:pPr>
              <w:snapToGrid w:val="0"/>
              <w:spacing w:before="120" w:after="120" w:line="240" w:lineRule="auto"/>
              <w:jc w:val="center"/>
              <w:rPr>
                <w:rFonts w:eastAsia="等线"/>
                <w:sz w:val="20"/>
              </w:rPr>
            </w:pPr>
            <w:r w:rsidRPr="00795CF4">
              <w:rPr>
                <w:bCs/>
                <w:iCs/>
                <w:sz w:val="20"/>
              </w:rPr>
              <w:t>S</w:t>
            </w:r>
            <w:r w:rsidRPr="00795CF4">
              <w:rPr>
                <w:sz w:val="20"/>
              </w:rPr>
              <w:t xml:space="preserve">ingle </w:t>
            </w:r>
            <w:r w:rsidRPr="00795CF4">
              <w:rPr>
                <w:rFonts w:hint="eastAsia"/>
                <w:sz w:val="20"/>
              </w:rPr>
              <w:t>PBCH</w:t>
            </w:r>
            <w:r w:rsidRPr="00795CF4">
              <w:rPr>
                <w:sz w:val="20"/>
              </w:rPr>
              <w:t>@</w:t>
            </w:r>
            <w:r w:rsidRPr="00795CF4">
              <w:rPr>
                <w:rFonts w:hint="eastAsia"/>
                <w:sz w:val="20"/>
              </w:rPr>
              <w:t xml:space="preserve">20 RBs SSB </w:t>
            </w:r>
            <w:r w:rsidRPr="00795CF4">
              <w:rPr>
                <w:b/>
                <w:sz w:val="20"/>
              </w:rPr>
              <w:t>without</w:t>
            </w:r>
            <w:r w:rsidRPr="00795CF4">
              <w:rPr>
                <w:sz w:val="20"/>
              </w:rPr>
              <w:t xml:space="preserve"> puncture</w:t>
            </w:r>
          </w:p>
        </w:tc>
        <w:tc>
          <w:tcPr>
            <w:tcW w:w="2001" w:type="dxa"/>
            <w:shd w:val="clear" w:color="auto" w:fill="auto"/>
            <w:vAlign w:val="center"/>
          </w:tcPr>
          <w:p w:rsidR="00795CF4" w:rsidRPr="00795CF4" w:rsidRDefault="00795CF4" w:rsidP="00795CF4">
            <w:pPr>
              <w:snapToGrid w:val="0"/>
              <w:spacing w:before="120" w:after="120" w:line="240" w:lineRule="auto"/>
              <w:jc w:val="center"/>
              <w:rPr>
                <w:bCs/>
                <w:iCs/>
                <w:sz w:val="20"/>
              </w:rPr>
            </w:pPr>
            <w:r w:rsidRPr="00795CF4">
              <w:rPr>
                <w:bCs/>
                <w:iCs/>
                <w:sz w:val="20"/>
              </w:rPr>
              <w:t>0</w:t>
            </w:r>
          </w:p>
        </w:tc>
      </w:tr>
      <w:tr w:rsidR="00795CF4" w:rsidTr="00795CF4">
        <w:trPr>
          <w:trHeight w:val="64"/>
          <w:jc w:val="center"/>
        </w:trPr>
        <w:tc>
          <w:tcPr>
            <w:tcW w:w="5524" w:type="dxa"/>
            <w:shd w:val="clear" w:color="auto" w:fill="auto"/>
            <w:vAlign w:val="center"/>
          </w:tcPr>
          <w:p w:rsidR="00795CF4" w:rsidRPr="00795CF4" w:rsidRDefault="00795CF4" w:rsidP="00795CF4">
            <w:pPr>
              <w:snapToGrid w:val="0"/>
              <w:spacing w:before="120" w:after="120" w:line="240" w:lineRule="auto"/>
              <w:jc w:val="center"/>
              <w:rPr>
                <w:bCs/>
                <w:iCs/>
                <w:sz w:val="20"/>
              </w:rPr>
            </w:pPr>
            <w:r w:rsidRPr="00795CF4">
              <w:rPr>
                <w:rFonts w:hint="eastAsia"/>
                <w:b/>
                <w:bCs/>
                <w:iCs/>
                <w:sz w:val="20"/>
              </w:rPr>
              <w:t xml:space="preserve">Case </w:t>
            </w:r>
            <w:r w:rsidRPr="00795CF4">
              <w:rPr>
                <w:b/>
                <w:bCs/>
                <w:iCs/>
                <w:sz w:val="20"/>
              </w:rPr>
              <w:t>1</w:t>
            </w:r>
            <w:r w:rsidRPr="00795CF4">
              <w:rPr>
                <w:bCs/>
                <w:iCs/>
                <w:sz w:val="20"/>
              </w:rPr>
              <w:t>:</w:t>
            </w:r>
          </w:p>
          <w:p w:rsidR="00795CF4" w:rsidRPr="00795CF4" w:rsidRDefault="00795CF4" w:rsidP="00795CF4">
            <w:pPr>
              <w:snapToGrid w:val="0"/>
              <w:spacing w:before="120" w:after="120" w:line="240" w:lineRule="auto"/>
              <w:jc w:val="center"/>
              <w:rPr>
                <w:rFonts w:eastAsia="等线"/>
                <w:sz w:val="20"/>
              </w:rPr>
            </w:pPr>
            <w:r w:rsidRPr="00795CF4">
              <w:rPr>
                <w:rFonts w:hint="eastAsia"/>
                <w:bCs/>
                <w:iCs/>
                <w:sz w:val="20"/>
              </w:rPr>
              <w:t xml:space="preserve">PBCH </w:t>
            </w:r>
            <w:r w:rsidRPr="00795CF4">
              <w:rPr>
                <w:bCs/>
                <w:iCs/>
                <w:sz w:val="20"/>
              </w:rPr>
              <w:t>mapping</w:t>
            </w:r>
            <w:r w:rsidRPr="00795CF4">
              <w:rPr>
                <w:rFonts w:hint="eastAsia"/>
                <w:bCs/>
                <w:iCs/>
                <w:sz w:val="20"/>
              </w:rPr>
              <w:t xml:space="preserve"> across two </w:t>
            </w:r>
            <w:r w:rsidRPr="00795CF4">
              <w:rPr>
                <w:bCs/>
                <w:iCs/>
                <w:sz w:val="20"/>
              </w:rPr>
              <w:t xml:space="preserve">SSBs </w:t>
            </w:r>
            <w:r w:rsidRPr="00795CF4">
              <w:rPr>
                <w:rFonts w:hint="eastAsia"/>
                <w:b/>
                <w:bCs/>
                <w:iCs/>
                <w:sz w:val="20"/>
              </w:rPr>
              <w:t>wi</w:t>
            </w:r>
            <w:r w:rsidRPr="00795CF4">
              <w:rPr>
                <w:b/>
                <w:bCs/>
                <w:iCs/>
                <w:sz w:val="20"/>
              </w:rPr>
              <w:t>th</w:t>
            </w:r>
            <w:r w:rsidRPr="00795CF4">
              <w:rPr>
                <w:bCs/>
                <w:iCs/>
                <w:sz w:val="20"/>
              </w:rPr>
              <w:t xml:space="preserve"> puncture@</w:t>
            </w:r>
            <w:r w:rsidRPr="00795CF4">
              <w:rPr>
                <w:rFonts w:hint="eastAsia"/>
                <w:bCs/>
                <w:iCs/>
                <w:sz w:val="20"/>
              </w:rPr>
              <w:t>12 RBs</w:t>
            </w:r>
          </w:p>
        </w:tc>
        <w:tc>
          <w:tcPr>
            <w:tcW w:w="2001" w:type="dxa"/>
            <w:shd w:val="clear" w:color="auto" w:fill="auto"/>
            <w:vAlign w:val="center"/>
          </w:tcPr>
          <w:p w:rsidR="00795CF4" w:rsidRPr="00795CF4" w:rsidRDefault="00795CF4" w:rsidP="00795CF4">
            <w:pPr>
              <w:snapToGrid w:val="0"/>
              <w:spacing w:before="120" w:after="120" w:line="240" w:lineRule="auto"/>
              <w:jc w:val="center"/>
              <w:rPr>
                <w:bCs/>
                <w:iCs/>
                <w:sz w:val="20"/>
              </w:rPr>
            </w:pPr>
            <w:r w:rsidRPr="00795CF4">
              <w:rPr>
                <w:rFonts w:hint="eastAsia"/>
                <w:bCs/>
                <w:iCs/>
                <w:sz w:val="20"/>
              </w:rPr>
              <w:t>0.</w:t>
            </w:r>
            <w:r w:rsidRPr="00795CF4">
              <w:rPr>
                <w:bCs/>
                <w:iCs/>
                <w:sz w:val="20"/>
              </w:rPr>
              <w:t>3</w:t>
            </w:r>
          </w:p>
        </w:tc>
      </w:tr>
      <w:tr w:rsidR="00795CF4" w:rsidTr="00795CF4">
        <w:trPr>
          <w:trHeight w:val="64"/>
          <w:jc w:val="center"/>
        </w:trPr>
        <w:tc>
          <w:tcPr>
            <w:tcW w:w="5524" w:type="dxa"/>
            <w:shd w:val="clear" w:color="auto" w:fill="auto"/>
            <w:vAlign w:val="center"/>
          </w:tcPr>
          <w:p w:rsidR="00795CF4" w:rsidRPr="00795CF4" w:rsidRDefault="00795CF4" w:rsidP="00795CF4">
            <w:pPr>
              <w:snapToGrid w:val="0"/>
              <w:spacing w:before="120" w:after="120" w:line="240" w:lineRule="auto"/>
              <w:jc w:val="center"/>
              <w:rPr>
                <w:bCs/>
                <w:iCs/>
                <w:sz w:val="20"/>
              </w:rPr>
            </w:pPr>
            <w:r w:rsidRPr="00795CF4">
              <w:rPr>
                <w:rFonts w:hint="eastAsia"/>
                <w:b/>
                <w:bCs/>
                <w:iCs/>
                <w:sz w:val="20"/>
              </w:rPr>
              <w:t xml:space="preserve">Case </w:t>
            </w:r>
            <w:r w:rsidRPr="00795CF4">
              <w:rPr>
                <w:b/>
                <w:bCs/>
                <w:iCs/>
                <w:sz w:val="20"/>
              </w:rPr>
              <w:t>2</w:t>
            </w:r>
            <w:r w:rsidRPr="00795CF4">
              <w:rPr>
                <w:bCs/>
                <w:iCs/>
                <w:sz w:val="20"/>
              </w:rPr>
              <w:t>:</w:t>
            </w:r>
          </w:p>
          <w:p w:rsidR="00795CF4" w:rsidRPr="00795CF4" w:rsidRDefault="00795CF4" w:rsidP="00795CF4">
            <w:pPr>
              <w:snapToGrid w:val="0"/>
              <w:spacing w:before="120" w:after="120" w:line="240" w:lineRule="auto"/>
              <w:jc w:val="center"/>
              <w:rPr>
                <w:rFonts w:eastAsia="等线"/>
                <w:sz w:val="20"/>
              </w:rPr>
            </w:pPr>
            <w:r w:rsidRPr="00795CF4">
              <w:rPr>
                <w:rFonts w:hint="eastAsia"/>
                <w:bCs/>
                <w:iCs/>
                <w:sz w:val="20"/>
              </w:rPr>
              <w:t xml:space="preserve">PBCH </w:t>
            </w:r>
            <w:r w:rsidRPr="00795CF4">
              <w:rPr>
                <w:bCs/>
                <w:iCs/>
                <w:sz w:val="20"/>
              </w:rPr>
              <w:t>repetition</w:t>
            </w:r>
            <w:r w:rsidRPr="00795CF4">
              <w:rPr>
                <w:rFonts w:hint="eastAsia"/>
                <w:bCs/>
                <w:iCs/>
                <w:sz w:val="20"/>
              </w:rPr>
              <w:t xml:space="preserve"> across two </w:t>
            </w:r>
            <w:r w:rsidRPr="00795CF4">
              <w:rPr>
                <w:bCs/>
                <w:iCs/>
                <w:sz w:val="20"/>
              </w:rPr>
              <w:t xml:space="preserve">SSBs </w:t>
            </w:r>
            <w:r w:rsidRPr="00795CF4">
              <w:rPr>
                <w:b/>
                <w:bCs/>
                <w:iCs/>
                <w:sz w:val="20"/>
              </w:rPr>
              <w:t>with</w:t>
            </w:r>
            <w:r w:rsidRPr="00795CF4">
              <w:rPr>
                <w:bCs/>
                <w:iCs/>
                <w:sz w:val="20"/>
              </w:rPr>
              <w:t xml:space="preserve"> puncture@</w:t>
            </w:r>
            <w:r w:rsidRPr="00795CF4">
              <w:rPr>
                <w:rFonts w:hint="eastAsia"/>
                <w:bCs/>
                <w:iCs/>
                <w:sz w:val="20"/>
              </w:rPr>
              <w:t>12 RBs</w:t>
            </w:r>
          </w:p>
        </w:tc>
        <w:tc>
          <w:tcPr>
            <w:tcW w:w="2001" w:type="dxa"/>
            <w:shd w:val="clear" w:color="auto" w:fill="auto"/>
            <w:vAlign w:val="center"/>
          </w:tcPr>
          <w:p w:rsidR="00795CF4" w:rsidRPr="00795CF4" w:rsidRDefault="00795CF4" w:rsidP="00795CF4">
            <w:pPr>
              <w:snapToGrid w:val="0"/>
              <w:spacing w:before="120" w:after="120" w:line="240" w:lineRule="auto"/>
              <w:jc w:val="center"/>
              <w:rPr>
                <w:bCs/>
                <w:iCs/>
                <w:sz w:val="20"/>
              </w:rPr>
            </w:pPr>
            <w:r w:rsidRPr="00795CF4">
              <w:rPr>
                <w:rFonts w:hint="eastAsia"/>
                <w:bCs/>
                <w:iCs/>
                <w:sz w:val="20"/>
              </w:rPr>
              <w:t>3.8</w:t>
            </w:r>
          </w:p>
        </w:tc>
      </w:tr>
    </w:tbl>
    <w:p w:rsidR="001948EC" w:rsidRDefault="001948EC" w:rsidP="001948EC">
      <w:pPr>
        <w:snapToGrid w:val="0"/>
        <w:spacing w:before="120" w:after="120"/>
        <w:rPr>
          <w:bCs/>
          <w:i/>
          <w:iCs/>
          <w:sz w:val="20"/>
        </w:rPr>
      </w:pPr>
      <w:r>
        <w:rPr>
          <w:b/>
          <w:bCs/>
          <w:i/>
          <w:iCs/>
          <w:sz w:val="20"/>
        </w:rPr>
        <w:t xml:space="preserve">Observation </w:t>
      </w:r>
      <w:r>
        <w:rPr>
          <w:rFonts w:hint="eastAsia"/>
          <w:b/>
          <w:bCs/>
          <w:i/>
          <w:iCs/>
          <w:sz w:val="20"/>
        </w:rPr>
        <w:t>11</w:t>
      </w:r>
      <w:r>
        <w:rPr>
          <w:bCs/>
          <w:i/>
          <w:iCs/>
          <w:sz w:val="20"/>
        </w:rPr>
        <w:t xml:space="preserve">: </w:t>
      </w:r>
      <w:r w:rsidR="0051754F">
        <w:rPr>
          <w:bCs/>
          <w:i/>
          <w:iCs/>
          <w:sz w:val="20"/>
        </w:rPr>
        <w:t xml:space="preserve">PBCH mapping cross </w:t>
      </w:r>
      <w:r>
        <w:rPr>
          <w:bCs/>
          <w:i/>
          <w:iCs/>
          <w:sz w:val="20"/>
        </w:rPr>
        <w:t>multi-SSBs within one group</w:t>
      </w:r>
      <w:r>
        <w:rPr>
          <w:rFonts w:hint="eastAsia"/>
          <w:bCs/>
          <w:i/>
          <w:iCs/>
          <w:sz w:val="20"/>
        </w:rPr>
        <w:t xml:space="preserve"> </w:t>
      </w:r>
      <w:r w:rsidR="0051754F">
        <w:rPr>
          <w:rFonts w:hint="eastAsia"/>
          <w:bCs/>
          <w:i/>
          <w:iCs/>
          <w:sz w:val="20"/>
        </w:rPr>
        <w:t>en</w:t>
      </w:r>
      <w:r w:rsidR="0051754F">
        <w:rPr>
          <w:bCs/>
          <w:i/>
          <w:iCs/>
          <w:sz w:val="20"/>
        </w:rPr>
        <w:t xml:space="preserve">sure the performance for </w:t>
      </w:r>
      <w:r>
        <w:rPr>
          <w:bCs/>
          <w:i/>
          <w:iCs/>
          <w:sz w:val="20"/>
        </w:rPr>
        <w:t xml:space="preserve">narrow band </w:t>
      </w:r>
      <w:r w:rsidR="00F330B5">
        <w:rPr>
          <w:rFonts w:hint="eastAsia"/>
          <w:bCs/>
          <w:i/>
          <w:iCs/>
          <w:sz w:val="20"/>
        </w:rPr>
        <w:t>operation</w:t>
      </w:r>
      <w:r>
        <w:rPr>
          <w:bCs/>
          <w:i/>
          <w:iCs/>
          <w:sz w:val="20"/>
        </w:rPr>
        <w:t>.</w:t>
      </w:r>
    </w:p>
    <w:p w:rsidR="001554A1" w:rsidRDefault="00FE1B65">
      <w:pPr>
        <w:snapToGrid w:val="0"/>
        <w:spacing w:before="120" w:after="120"/>
        <w:rPr>
          <w:bCs/>
          <w:i/>
          <w:sz w:val="20"/>
        </w:rPr>
      </w:pPr>
      <w:r>
        <w:rPr>
          <w:b/>
          <w:bCs/>
          <w:i/>
          <w:sz w:val="20"/>
        </w:rPr>
        <w:t>#Featur</w:t>
      </w:r>
      <w:r>
        <w:rPr>
          <w:rFonts w:hint="eastAsia"/>
          <w:b/>
          <w:bCs/>
          <w:i/>
          <w:sz w:val="20"/>
        </w:rPr>
        <w:t>e</w:t>
      </w:r>
      <w:r>
        <w:rPr>
          <w:b/>
          <w:bCs/>
          <w:i/>
          <w:sz w:val="20"/>
        </w:rPr>
        <w:t>-2: A</w:t>
      </w:r>
      <w:r>
        <w:rPr>
          <w:rFonts w:hint="eastAsia"/>
          <w:b/>
          <w:bCs/>
          <w:i/>
          <w:sz w:val="20"/>
        </w:rPr>
        <w:t>daptive</w:t>
      </w:r>
      <w:r>
        <w:rPr>
          <w:b/>
          <w:bCs/>
          <w:i/>
          <w:sz w:val="20"/>
        </w:rPr>
        <w:t xml:space="preserve"> </w:t>
      </w:r>
      <w:r>
        <w:rPr>
          <w:rFonts w:hint="eastAsia"/>
          <w:b/>
          <w:bCs/>
          <w:i/>
          <w:sz w:val="20"/>
        </w:rPr>
        <w:t>transmission</w:t>
      </w:r>
      <w:r>
        <w:rPr>
          <w:b/>
          <w:bCs/>
          <w:i/>
          <w:sz w:val="20"/>
        </w:rPr>
        <w:t xml:space="preserve"> of SSBs</w:t>
      </w:r>
    </w:p>
    <w:p w:rsidR="001554A1" w:rsidRDefault="00FE1B65">
      <w:pPr>
        <w:snapToGrid w:val="0"/>
        <w:spacing w:before="120" w:after="120"/>
        <w:rPr>
          <w:sz w:val="20"/>
        </w:rPr>
      </w:pPr>
      <w:r>
        <w:rPr>
          <w:rFonts w:hint="eastAsia"/>
          <w:bCs/>
          <w:iCs/>
          <w:sz w:val="20"/>
        </w:rPr>
        <w:t xml:space="preserve">Based on the concept of SSB group, the </w:t>
      </w:r>
      <w:r>
        <w:rPr>
          <w:bCs/>
          <w:iCs/>
          <w:sz w:val="20"/>
        </w:rPr>
        <w:t xml:space="preserve">management of SSB transmission can be achieved </w:t>
      </w:r>
      <w:r>
        <w:rPr>
          <w:rFonts w:hint="eastAsia"/>
          <w:bCs/>
          <w:iCs/>
          <w:sz w:val="20"/>
        </w:rPr>
        <w:t>easily.</w:t>
      </w:r>
      <w:r>
        <w:rPr>
          <w:bCs/>
          <w:iCs/>
          <w:sz w:val="20"/>
        </w:rPr>
        <w:t xml:space="preserve"> For example</w:t>
      </w:r>
      <w:r>
        <w:rPr>
          <w:rFonts w:hint="eastAsia"/>
          <w:bCs/>
          <w:iCs/>
          <w:sz w:val="20"/>
        </w:rPr>
        <w:t>,</w:t>
      </w:r>
    </w:p>
    <w:p w:rsidR="001554A1" w:rsidRDefault="00FE1B65">
      <w:pPr>
        <w:snapToGrid w:val="0"/>
        <w:spacing w:before="120" w:after="120"/>
        <w:rPr>
          <w:sz w:val="20"/>
        </w:rPr>
      </w:pPr>
      <w:r>
        <w:rPr>
          <w:sz w:val="20"/>
        </w:rPr>
        <w:t xml:space="preserve">In the case that only limited number of SSBs are needed, as shown in Figure </w:t>
      </w:r>
      <w:r w:rsidR="002A741E">
        <w:rPr>
          <w:sz w:val="20"/>
        </w:rPr>
        <w:t>3.2-4</w:t>
      </w:r>
      <w:r>
        <w:rPr>
          <w:sz w:val="20"/>
        </w:rPr>
        <w:t>, either group based or SSB based enabling/disabling of transmission can be supported. Additionally, this mech</w:t>
      </w:r>
      <w:r>
        <w:rPr>
          <w:rFonts w:hint="eastAsia"/>
          <w:sz w:val="20"/>
        </w:rPr>
        <w:t>a</w:t>
      </w:r>
      <w:r>
        <w:rPr>
          <w:sz w:val="20"/>
        </w:rPr>
        <w:t xml:space="preserve">nism is also </w:t>
      </w:r>
      <w:r>
        <w:rPr>
          <w:rFonts w:hint="eastAsia"/>
          <w:sz w:val="20"/>
        </w:rPr>
        <w:t>compatible</w:t>
      </w:r>
      <w:r>
        <w:rPr>
          <w:sz w:val="20"/>
        </w:rPr>
        <w:t xml:space="preserve"> to support </w:t>
      </w:r>
      <w:r>
        <w:rPr>
          <w:rFonts w:hint="eastAsia"/>
          <w:sz w:val="20"/>
        </w:rPr>
        <w:t xml:space="preserve">on-demand SSB transmissions for </w:t>
      </w:r>
      <w:r>
        <w:rPr>
          <w:sz w:val="20"/>
        </w:rPr>
        <w:t xml:space="preserve">network </w:t>
      </w:r>
      <w:r>
        <w:rPr>
          <w:rFonts w:hint="eastAsia"/>
          <w:sz w:val="20"/>
        </w:rPr>
        <w:t>energy</w:t>
      </w:r>
      <w:r>
        <w:rPr>
          <w:sz w:val="20"/>
        </w:rPr>
        <w:t xml:space="preserve"> saving</w:t>
      </w:r>
      <w:r>
        <w:rPr>
          <w:rFonts w:hint="eastAsia"/>
          <w:sz w:val="20"/>
        </w:rPr>
        <w:t>, e.g., enable/disable SSBs within one group simultaneously.</w:t>
      </w:r>
    </w:p>
    <w:p w:rsidR="001554A1" w:rsidRDefault="00FE1B65">
      <w:pPr>
        <w:spacing w:before="120" w:after="120"/>
        <w:jc w:val="center"/>
      </w:pPr>
      <w:r>
        <w:rPr>
          <w:noProof/>
        </w:rPr>
        <w:drawing>
          <wp:inline distT="0" distB="0" distL="114300" distR="114300">
            <wp:extent cx="2459990" cy="997585"/>
            <wp:effectExtent l="0" t="0" r="8890" b="825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6"/>
                    <a:stretch>
                      <a:fillRect/>
                    </a:stretch>
                  </pic:blipFill>
                  <pic:spPr>
                    <a:xfrm>
                      <a:off x="0" y="0"/>
                      <a:ext cx="2459990" cy="997585"/>
                    </a:xfrm>
                    <a:prstGeom prst="rect">
                      <a:avLst/>
                    </a:prstGeom>
                  </pic:spPr>
                </pic:pic>
              </a:graphicData>
            </a:graphic>
          </wp:inline>
        </w:drawing>
      </w:r>
    </w:p>
    <w:p w:rsidR="001554A1" w:rsidRDefault="00FE1B65">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sidR="002A741E">
        <w:rPr>
          <w:rFonts w:eastAsia="宋体"/>
          <w:sz w:val="20"/>
          <w:szCs w:val="20"/>
        </w:rPr>
        <w:t>3.2-4</w:t>
      </w:r>
      <w:r>
        <w:rPr>
          <w:rFonts w:eastAsia="宋体" w:hint="eastAsia"/>
          <w:sz w:val="20"/>
          <w:szCs w:val="20"/>
        </w:rPr>
        <w:t xml:space="preserve">: Group based </w:t>
      </w:r>
      <w:r>
        <w:rPr>
          <w:rFonts w:eastAsia="宋体"/>
          <w:sz w:val="20"/>
          <w:szCs w:val="20"/>
        </w:rPr>
        <w:t>enabling/disabling of</w:t>
      </w:r>
      <w:r>
        <w:rPr>
          <w:rFonts w:eastAsia="宋体" w:hint="eastAsia"/>
          <w:sz w:val="20"/>
          <w:szCs w:val="20"/>
        </w:rPr>
        <w:t xml:space="preserve"> SSB transmission</w:t>
      </w:r>
    </w:p>
    <w:p w:rsidR="001554A1" w:rsidRDefault="00FE1B65">
      <w:pPr>
        <w:tabs>
          <w:tab w:val="left" w:pos="420"/>
          <w:tab w:val="left" w:pos="840"/>
        </w:tabs>
        <w:spacing w:before="120" w:after="120"/>
        <w:rPr>
          <w:sz w:val="20"/>
        </w:rPr>
      </w:pPr>
      <w:r>
        <w:rPr>
          <w:sz w:val="20"/>
        </w:rPr>
        <w:t xml:space="preserve">In addition, as mentioned above, since each group or SSB </w:t>
      </w:r>
      <w:r>
        <w:rPr>
          <w:rFonts w:hint="eastAsia"/>
          <w:sz w:val="20"/>
        </w:rPr>
        <w:t>within</w:t>
      </w:r>
      <w:r>
        <w:rPr>
          <w:sz w:val="20"/>
        </w:rPr>
        <w:t xml:space="preserve"> one group can refer to one or more TRPs for cell-free operation, </w:t>
      </w:r>
      <w:r>
        <w:rPr>
          <w:rFonts w:hint="eastAsia"/>
          <w:sz w:val="20"/>
        </w:rPr>
        <w:t>adaptive</w:t>
      </w:r>
      <w:r>
        <w:rPr>
          <w:sz w:val="20"/>
        </w:rPr>
        <w:t xml:space="preserve"> transmission of SSBs </w:t>
      </w:r>
      <w:r w:rsidR="00797447">
        <w:rPr>
          <w:sz w:val="20"/>
        </w:rPr>
        <w:t xml:space="preserve">with </w:t>
      </w:r>
      <w:r>
        <w:rPr>
          <w:sz w:val="20"/>
        </w:rPr>
        <w:t xml:space="preserve">either one or more </w:t>
      </w:r>
      <w:r w:rsidR="00797447">
        <w:rPr>
          <w:sz w:val="20"/>
        </w:rPr>
        <w:t>pre</w:t>
      </w:r>
      <w:r w:rsidR="00F96D3F">
        <w:rPr>
          <w:sz w:val="20"/>
        </w:rPr>
        <w:t>coding phases across TRPs</w:t>
      </w:r>
      <w:r w:rsidR="00797447">
        <w:rPr>
          <w:sz w:val="20"/>
        </w:rPr>
        <w:t xml:space="preserve"> </w:t>
      </w:r>
      <w:r>
        <w:rPr>
          <w:sz w:val="20"/>
        </w:rPr>
        <w:t>can be used to support the cell-free/</w:t>
      </w:r>
      <w:r w:rsidR="002566FC">
        <w:rPr>
          <w:sz w:val="20"/>
        </w:rPr>
        <w:t>m</w:t>
      </w:r>
      <w:r>
        <w:rPr>
          <w:sz w:val="20"/>
        </w:rPr>
        <w:t>TRP operation accordingly. This is also applicable for multi-carrier cases.</w:t>
      </w:r>
    </w:p>
    <w:p w:rsidR="001554A1" w:rsidRDefault="00FE1B65">
      <w:pPr>
        <w:tabs>
          <w:tab w:val="left" w:pos="420"/>
          <w:tab w:val="left" w:pos="840"/>
        </w:tabs>
        <w:spacing w:before="120" w:after="120"/>
        <w:rPr>
          <w:sz w:val="20"/>
        </w:rPr>
      </w:pPr>
      <w:r>
        <w:rPr>
          <w:sz w:val="20"/>
        </w:rPr>
        <w:t xml:space="preserve">Meanwhile, as highlighted in </w:t>
      </w:r>
      <w:r>
        <w:rPr>
          <w:rFonts w:hint="eastAsia"/>
          <w:sz w:val="20"/>
        </w:rPr>
        <w:t>[2], AI-based SSB beam management</w:t>
      </w:r>
      <w:r>
        <w:rPr>
          <w:sz w:val="20"/>
        </w:rPr>
        <w:t xml:space="preserve"> should also be considered in initial access stage</w:t>
      </w:r>
      <w:r>
        <w:rPr>
          <w:rFonts w:hint="eastAsia"/>
          <w:sz w:val="20"/>
        </w:rPr>
        <w:t xml:space="preserve">. </w:t>
      </w:r>
      <w:r>
        <w:rPr>
          <w:sz w:val="20"/>
        </w:rPr>
        <w:t xml:space="preserve">With </w:t>
      </w:r>
      <w:r>
        <w:rPr>
          <w:rFonts w:hint="eastAsia"/>
          <w:sz w:val="20"/>
        </w:rPr>
        <w:t>defini</w:t>
      </w:r>
      <w:r>
        <w:rPr>
          <w:sz w:val="20"/>
        </w:rPr>
        <w:t>tion of</w:t>
      </w:r>
      <w:r>
        <w:rPr>
          <w:rFonts w:hint="eastAsia"/>
          <w:sz w:val="20"/>
        </w:rPr>
        <w:t xml:space="preserve"> different SSB </w:t>
      </w:r>
      <w:r>
        <w:rPr>
          <w:sz w:val="20"/>
        </w:rPr>
        <w:t>groups</w:t>
      </w:r>
      <w:r>
        <w:rPr>
          <w:rFonts w:hint="eastAsia"/>
          <w:sz w:val="20"/>
        </w:rPr>
        <w:t xml:space="preserve">, </w:t>
      </w:r>
      <w:r>
        <w:rPr>
          <w:sz w:val="20"/>
        </w:rPr>
        <w:t xml:space="preserve">either </w:t>
      </w:r>
      <w:r>
        <w:rPr>
          <w:rFonts w:hint="eastAsia"/>
          <w:sz w:val="20"/>
        </w:rPr>
        <w:t xml:space="preserve">cross SSB sets prediction or SSB-level prediction within a SSB set can be </w:t>
      </w:r>
      <w:r>
        <w:rPr>
          <w:sz w:val="20"/>
        </w:rPr>
        <w:t>naturally supported. E</w:t>
      </w:r>
      <w:r>
        <w:rPr>
          <w:rFonts w:hint="eastAsia"/>
          <w:sz w:val="20"/>
        </w:rPr>
        <w:t>specially</w:t>
      </w:r>
      <w:r>
        <w:rPr>
          <w:sz w:val="20"/>
        </w:rPr>
        <w:t>, as agreed in RAN1#123 meeting</w:t>
      </w:r>
      <w:r>
        <w:rPr>
          <w:sz w:val="20"/>
        </w:rPr>
        <w:fldChar w:fldCharType="begin"/>
      </w:r>
      <w:r>
        <w:rPr>
          <w:sz w:val="20"/>
        </w:rPr>
        <w:instrText xml:space="preserve"> REF _Ref220157849 \r \h </w:instrText>
      </w:r>
      <w:r>
        <w:rPr>
          <w:sz w:val="20"/>
        </w:rPr>
      </w:r>
      <w:r>
        <w:rPr>
          <w:sz w:val="20"/>
        </w:rPr>
        <w:fldChar w:fldCharType="separate"/>
      </w:r>
      <w:r>
        <w:rPr>
          <w:sz w:val="20"/>
        </w:rPr>
        <w:t>[4]</w:t>
      </w:r>
      <w:r>
        <w:rPr>
          <w:sz w:val="20"/>
        </w:rPr>
        <w:fldChar w:fldCharType="end"/>
      </w:r>
      <w:r>
        <w:rPr>
          <w:sz w:val="20"/>
        </w:rPr>
        <w:t>, Sub-case D of AI/ML for beam management and extension will be considered in initial access stage based on the details in Table 3</w:t>
      </w:r>
      <w:r w:rsidR="00897073">
        <w:rPr>
          <w:sz w:val="20"/>
        </w:rPr>
        <w:t>.2-</w:t>
      </w:r>
      <w:r w:rsidR="001948EC">
        <w:rPr>
          <w:sz w:val="20"/>
        </w:rPr>
        <w:t>2</w:t>
      </w:r>
      <w:r>
        <w:rPr>
          <w:sz w:val="20"/>
        </w:rPr>
        <w:t>. The simulation results for AI/ML beam prediction in Rel-18 have already prove</w:t>
      </w:r>
      <w:r w:rsidR="002A7F07">
        <w:rPr>
          <w:sz w:val="20"/>
        </w:rPr>
        <w:t>n</w:t>
      </w:r>
      <w:r>
        <w:rPr>
          <w:sz w:val="20"/>
        </w:rPr>
        <w:t xml:space="preserve"> the benefits of this AI/ML use case</w:t>
      </w:r>
      <w:r w:rsidR="002A7F07">
        <w:rPr>
          <w:sz w:val="20"/>
        </w:rPr>
        <w:t xml:space="preserve">. There </w:t>
      </w:r>
      <w:r>
        <w:rPr>
          <w:sz w:val="20"/>
        </w:rPr>
        <w:t xml:space="preserve">is no need to further duplicate the evaluation in 6GR study phase. </w:t>
      </w:r>
    </w:p>
    <w:p w:rsidR="001554A1" w:rsidRDefault="00FE1B65">
      <w:pPr>
        <w:snapToGrid w:val="0"/>
        <w:spacing w:before="120" w:after="120"/>
        <w:jc w:val="center"/>
        <w:rPr>
          <w:sz w:val="20"/>
        </w:rPr>
      </w:pPr>
      <w:r>
        <w:rPr>
          <w:rFonts w:hint="eastAsia"/>
          <w:sz w:val="20"/>
        </w:rPr>
        <w:lastRenderedPageBreak/>
        <w:t xml:space="preserve">Table </w:t>
      </w:r>
      <w:r>
        <w:rPr>
          <w:sz w:val="20"/>
        </w:rPr>
        <w:t>3</w:t>
      </w:r>
      <w:r w:rsidR="00897073">
        <w:rPr>
          <w:sz w:val="20"/>
        </w:rPr>
        <w:t>.2-</w:t>
      </w:r>
      <w:r w:rsidR="001948EC">
        <w:rPr>
          <w:sz w:val="20"/>
        </w:rPr>
        <w:t>2</w:t>
      </w:r>
      <w:r>
        <w:rPr>
          <w:rFonts w:hint="eastAsia"/>
          <w:sz w:val="20"/>
        </w:rPr>
        <w:t xml:space="preserve">: </w:t>
      </w:r>
      <w:r>
        <w:rPr>
          <w:sz w:val="20"/>
        </w:rPr>
        <w:t>Sub-Case D: Beam prediction for initial access</w:t>
      </w:r>
    </w:p>
    <w:tbl>
      <w:tblPr>
        <w:tblStyle w:val="TableGrid1"/>
        <w:tblW w:w="4551" w:type="pct"/>
        <w:jc w:val="center"/>
        <w:tblLayout w:type="fixed"/>
        <w:tblLook w:val="04A0" w:firstRow="1" w:lastRow="0" w:firstColumn="1" w:lastColumn="0" w:noHBand="0" w:noVBand="1"/>
      </w:tblPr>
      <w:tblGrid>
        <w:gridCol w:w="3114"/>
        <w:gridCol w:w="5669"/>
      </w:tblGrid>
      <w:tr w:rsidR="001554A1">
        <w:trPr>
          <w:trHeight w:val="416"/>
          <w:jc w:val="center"/>
        </w:trPr>
        <w:tc>
          <w:tcPr>
            <w:tcW w:w="1773" w:type="pct"/>
            <w:shd w:val="clear" w:color="auto" w:fill="BFBFBF" w:themeFill="background1" w:themeFillShade="BF"/>
            <w:noWrap/>
          </w:tcPr>
          <w:p w:rsidR="001554A1" w:rsidRDefault="00FE1B65">
            <w:pPr>
              <w:snapToGrid w:val="0"/>
              <w:spacing w:beforeLines="0" w:afterLines="0" w:after="0" w:line="240" w:lineRule="auto"/>
              <w:rPr>
                <w:sz w:val="20"/>
                <w:lang w:eastAsia="en-GB"/>
              </w:rPr>
            </w:pPr>
            <w:r>
              <w:rPr>
                <w:sz w:val="20"/>
                <w:lang w:eastAsia="en-GB"/>
              </w:rPr>
              <w:t>Sub-use case</w:t>
            </w:r>
          </w:p>
        </w:tc>
        <w:tc>
          <w:tcPr>
            <w:tcW w:w="3227" w:type="pct"/>
            <w:shd w:val="clear" w:color="auto" w:fill="BFBFBF" w:themeFill="background1" w:themeFillShade="BF"/>
          </w:tcPr>
          <w:p w:rsidR="001554A1" w:rsidRDefault="00FE1B65">
            <w:pPr>
              <w:snapToGrid w:val="0"/>
              <w:spacing w:beforeLines="0" w:afterLines="0" w:after="0" w:line="240" w:lineRule="auto"/>
              <w:rPr>
                <w:sz w:val="20"/>
                <w:lang w:eastAsia="ko-KR"/>
              </w:rPr>
            </w:pPr>
            <w:r>
              <w:rPr>
                <w:sz w:val="20"/>
                <w:lang w:eastAsia="ko-KR"/>
              </w:rPr>
              <w:t>Sub-Case D:</w:t>
            </w:r>
          </w:p>
          <w:p w:rsidR="001554A1" w:rsidRDefault="00FE1B65">
            <w:pPr>
              <w:snapToGrid w:val="0"/>
              <w:spacing w:beforeLines="0" w:afterLines="0" w:after="0" w:line="240" w:lineRule="auto"/>
              <w:rPr>
                <w:rFonts w:cs="Times"/>
                <w:sz w:val="20"/>
                <w:lang w:eastAsia="en-GB"/>
              </w:rPr>
            </w:pPr>
            <w:r>
              <w:rPr>
                <w:sz w:val="20"/>
                <w:lang w:eastAsia="ko-KR"/>
              </w:rPr>
              <w:t>Beam prediction for initial access</w:t>
            </w:r>
          </w:p>
        </w:tc>
      </w:tr>
      <w:tr w:rsidR="001554A1">
        <w:trPr>
          <w:trHeight w:val="399"/>
          <w:jc w:val="center"/>
        </w:trPr>
        <w:tc>
          <w:tcPr>
            <w:tcW w:w="1773" w:type="pct"/>
            <w:shd w:val="clear" w:color="auto" w:fill="FBD4B4" w:themeFill="accent6" w:themeFillTint="66"/>
            <w:noWrap/>
          </w:tcPr>
          <w:p w:rsidR="001554A1" w:rsidRDefault="00FE1B65">
            <w:pPr>
              <w:snapToGrid w:val="0"/>
              <w:spacing w:beforeLines="0" w:afterLines="0" w:after="0" w:line="240" w:lineRule="auto"/>
              <w:rPr>
                <w:sz w:val="20"/>
                <w:lang w:eastAsia="en-GB"/>
              </w:rPr>
            </w:pPr>
            <w:r>
              <w:rPr>
                <w:sz w:val="20"/>
                <w:lang w:eastAsia="en-GB"/>
              </w:rPr>
              <w:t>Reported companies</w:t>
            </w:r>
          </w:p>
        </w:tc>
        <w:tc>
          <w:tcPr>
            <w:tcW w:w="3227" w:type="pct"/>
            <w:shd w:val="clear" w:color="auto" w:fill="FBD4B4" w:themeFill="accent6" w:themeFillTint="66"/>
          </w:tcPr>
          <w:p w:rsidR="001554A1" w:rsidRDefault="00FE1B65">
            <w:pPr>
              <w:snapToGrid w:val="0"/>
              <w:spacing w:beforeLines="0" w:afterLines="0" w:after="0" w:line="240" w:lineRule="auto"/>
              <w:rPr>
                <w:sz w:val="20"/>
                <w:lang w:val="it-IT" w:eastAsia="en-GB"/>
              </w:rPr>
            </w:pPr>
            <w:r>
              <w:rPr>
                <w:sz w:val="20"/>
                <w:lang w:val="it-IT" w:eastAsia="en-GB"/>
              </w:rPr>
              <w:t>(3) Huawei, vivo, ZTE</w:t>
            </w:r>
          </w:p>
          <w:p w:rsidR="001554A1" w:rsidRDefault="00FE1B65">
            <w:pPr>
              <w:snapToGrid w:val="0"/>
              <w:spacing w:beforeLines="0" w:afterLines="0" w:after="0" w:line="240" w:lineRule="auto"/>
              <w:rPr>
                <w:sz w:val="20"/>
                <w:lang w:val="it-IT" w:eastAsia="en-GB"/>
              </w:rPr>
            </w:pPr>
            <w:r>
              <w:rPr>
                <w:sz w:val="20"/>
                <w:lang w:val="it-IT" w:eastAsia="en-GB"/>
              </w:rPr>
              <w:t>(8) Qualcomm, Samsung, LGE, Apple Google {Spreadtrum, UNISOC}, Nokia, Lenovo</w:t>
            </w:r>
          </w:p>
          <w:p w:rsidR="001554A1" w:rsidRDefault="00FE1B65">
            <w:pPr>
              <w:snapToGrid w:val="0"/>
              <w:spacing w:beforeLines="0" w:afterLines="0" w:after="0" w:line="240" w:lineRule="auto"/>
              <w:rPr>
                <w:sz w:val="20"/>
                <w:lang w:val="it-IT" w:eastAsia="en-GB"/>
              </w:rPr>
            </w:pPr>
            <w:r>
              <w:rPr>
                <w:sz w:val="20"/>
                <w:lang w:val="it-IT" w:eastAsia="en-GB"/>
              </w:rPr>
              <w:t>(</w:t>
            </w:r>
            <w:r>
              <w:rPr>
                <w:sz w:val="20"/>
                <w:lang w:val="it-IT"/>
              </w:rPr>
              <w:t>citing to NR study</w:t>
            </w:r>
            <w:r>
              <w:rPr>
                <w:sz w:val="20"/>
                <w:lang w:val="it-IT" w:eastAsia="en-GB"/>
              </w:rPr>
              <w:t>),</w:t>
            </w:r>
          </w:p>
        </w:tc>
      </w:tr>
      <w:tr w:rsidR="001554A1">
        <w:trPr>
          <w:trHeight w:val="234"/>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Model input</w:t>
            </w:r>
          </w:p>
        </w:tc>
        <w:tc>
          <w:tcPr>
            <w:tcW w:w="3227" w:type="pct"/>
          </w:tcPr>
          <w:p w:rsidR="001554A1" w:rsidRDefault="00FE1B65">
            <w:pPr>
              <w:snapToGrid w:val="0"/>
              <w:spacing w:beforeLines="0" w:afterLines="0" w:after="0" w:line="240" w:lineRule="auto"/>
              <w:rPr>
                <w:sz w:val="20"/>
                <w:lang w:eastAsia="en-GB"/>
              </w:rPr>
            </w:pPr>
            <w:r>
              <w:rPr>
                <w:sz w:val="20"/>
                <w:lang w:eastAsia="en-GB"/>
              </w:rPr>
              <w:t>Measurements from Set B of SSB</w:t>
            </w:r>
          </w:p>
        </w:tc>
      </w:tr>
      <w:tr w:rsidR="001554A1">
        <w:trPr>
          <w:trHeight w:val="399"/>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Model output</w:t>
            </w:r>
          </w:p>
        </w:tc>
        <w:tc>
          <w:tcPr>
            <w:tcW w:w="3227" w:type="pct"/>
          </w:tcPr>
          <w:p w:rsidR="001554A1" w:rsidRDefault="00FE1B65">
            <w:pPr>
              <w:snapToGrid w:val="0"/>
              <w:spacing w:beforeLines="0" w:afterLines="0" w:after="0" w:line="240" w:lineRule="auto"/>
              <w:rPr>
                <w:sz w:val="20"/>
                <w:lang w:eastAsia="en-GB"/>
              </w:rPr>
            </w:pPr>
            <w:r>
              <w:rPr>
                <w:sz w:val="20"/>
                <w:lang w:eastAsia="en-GB"/>
              </w:rPr>
              <w:t xml:space="preserve">Predicted best </w:t>
            </w:r>
            <w:r>
              <w:rPr>
                <w:sz w:val="20"/>
              </w:rPr>
              <w:t xml:space="preserve">DL Tx </w:t>
            </w:r>
            <w:r>
              <w:rPr>
                <w:sz w:val="20"/>
                <w:lang w:eastAsia="en-GB"/>
              </w:rPr>
              <w:t>beam information (and/or predicted measurements from Set A of current or future time instance</w:t>
            </w:r>
          </w:p>
        </w:tc>
      </w:tr>
      <w:tr w:rsidR="001554A1">
        <w:trPr>
          <w:trHeight w:val="269"/>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Label</w:t>
            </w:r>
          </w:p>
        </w:tc>
        <w:tc>
          <w:tcPr>
            <w:tcW w:w="3227" w:type="pct"/>
          </w:tcPr>
          <w:p w:rsidR="001554A1" w:rsidRDefault="00FE1B65">
            <w:pPr>
              <w:snapToGrid w:val="0"/>
              <w:spacing w:beforeLines="0" w:afterLines="0" w:after="0" w:line="240" w:lineRule="auto"/>
              <w:rPr>
                <w:sz w:val="20"/>
                <w:lang w:eastAsia="en-GB"/>
              </w:rPr>
            </w:pPr>
            <w:r>
              <w:rPr>
                <w:sz w:val="20"/>
                <w:lang w:eastAsia="en-GB"/>
              </w:rPr>
              <w:t>Measurements or Top beams of Set A</w:t>
            </w:r>
          </w:p>
        </w:tc>
      </w:tr>
      <w:tr w:rsidR="001554A1">
        <w:trPr>
          <w:trHeight w:val="399"/>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Training types assumption</w:t>
            </w:r>
          </w:p>
        </w:tc>
        <w:tc>
          <w:tcPr>
            <w:tcW w:w="3227" w:type="pct"/>
          </w:tcPr>
          <w:p w:rsidR="001554A1" w:rsidRDefault="00FE1B65">
            <w:pPr>
              <w:snapToGrid w:val="0"/>
              <w:spacing w:beforeLines="0" w:afterLines="0" w:after="0" w:line="240" w:lineRule="auto"/>
              <w:rPr>
                <w:sz w:val="20"/>
                <w:lang w:eastAsia="en-GB"/>
              </w:rPr>
            </w:pPr>
            <w:r>
              <w:rPr>
                <w:sz w:val="20"/>
                <w:lang w:eastAsia="en-GB"/>
              </w:rPr>
              <w:t>offline training</w:t>
            </w:r>
          </w:p>
        </w:tc>
      </w:tr>
      <w:tr w:rsidR="001554A1">
        <w:trPr>
          <w:trHeight w:val="167"/>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KPI</w:t>
            </w:r>
          </w:p>
        </w:tc>
        <w:tc>
          <w:tcPr>
            <w:tcW w:w="3227" w:type="pct"/>
          </w:tcPr>
          <w:p w:rsidR="001554A1" w:rsidRDefault="00FE1B65">
            <w:pPr>
              <w:snapToGrid w:val="0"/>
              <w:spacing w:beforeLines="0" w:afterLines="0" w:after="0" w:line="240" w:lineRule="auto"/>
              <w:rPr>
                <w:sz w:val="20"/>
                <w:lang w:eastAsia="en-GB"/>
              </w:rPr>
            </w:pPr>
            <w:r>
              <w:rPr>
                <w:sz w:val="20"/>
                <w:lang w:eastAsia="en-GB"/>
              </w:rPr>
              <w:t>Prediction beam accuracy, 95th‑percentile Top‑1 RSRP error</w:t>
            </w:r>
          </w:p>
        </w:tc>
      </w:tr>
      <w:tr w:rsidR="001554A1">
        <w:trPr>
          <w:trHeight w:val="399"/>
          <w:jc w:val="center"/>
        </w:trPr>
        <w:tc>
          <w:tcPr>
            <w:tcW w:w="1773" w:type="pct"/>
            <w:noWrap/>
          </w:tcPr>
          <w:p w:rsidR="001554A1" w:rsidRDefault="00FE1B65">
            <w:pPr>
              <w:snapToGrid w:val="0"/>
              <w:spacing w:beforeLines="0" w:afterLines="0" w:after="0" w:line="240" w:lineRule="auto"/>
              <w:rPr>
                <w:rFonts w:cs="Times"/>
                <w:color w:val="000000"/>
                <w:sz w:val="20"/>
                <w:lang w:eastAsia="en-GB"/>
              </w:rPr>
            </w:pPr>
            <w:r>
              <w:rPr>
                <w:sz w:val="20"/>
                <w:lang w:eastAsia="en-GB"/>
              </w:rPr>
              <w:t>Benchmark</w:t>
            </w:r>
          </w:p>
        </w:tc>
        <w:tc>
          <w:tcPr>
            <w:tcW w:w="3227" w:type="pct"/>
          </w:tcPr>
          <w:p w:rsidR="001554A1" w:rsidRDefault="00FE1B65">
            <w:pPr>
              <w:snapToGrid w:val="0"/>
              <w:spacing w:beforeLines="0" w:afterLines="0" w:after="0" w:line="240" w:lineRule="auto"/>
              <w:rPr>
                <w:sz w:val="20"/>
                <w:lang w:eastAsia="en-GB"/>
              </w:rPr>
            </w:pPr>
            <w:r>
              <w:rPr>
                <w:sz w:val="20"/>
                <w:lang w:eastAsia="en-GB"/>
              </w:rPr>
              <w:t>Based on Set A</w:t>
            </w:r>
          </w:p>
          <w:p w:rsidR="001554A1" w:rsidRDefault="00FE1B65">
            <w:pPr>
              <w:snapToGrid w:val="0"/>
              <w:spacing w:beforeLines="0" w:afterLines="0" w:after="0" w:line="240" w:lineRule="auto"/>
              <w:rPr>
                <w:sz w:val="20"/>
                <w:lang w:eastAsia="en-GB"/>
              </w:rPr>
            </w:pPr>
            <w:r>
              <w:rPr>
                <w:sz w:val="20"/>
                <w:lang w:eastAsia="en-GB"/>
              </w:rPr>
              <w:t>Based on Set B</w:t>
            </w:r>
          </w:p>
        </w:tc>
      </w:tr>
      <w:tr w:rsidR="001554A1">
        <w:trPr>
          <w:trHeight w:val="399"/>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Model location for inference</w:t>
            </w:r>
          </w:p>
        </w:tc>
        <w:tc>
          <w:tcPr>
            <w:tcW w:w="3227" w:type="pct"/>
          </w:tcPr>
          <w:p w:rsidR="001554A1" w:rsidRDefault="00FE1B65">
            <w:pPr>
              <w:snapToGrid w:val="0"/>
              <w:spacing w:beforeLines="0" w:afterLines="0" w:after="0" w:line="240" w:lineRule="auto"/>
              <w:rPr>
                <w:sz w:val="20"/>
                <w:lang w:eastAsia="en-GB"/>
              </w:rPr>
            </w:pPr>
            <w:r>
              <w:rPr>
                <w:sz w:val="20"/>
                <w:lang w:eastAsia="en-GB"/>
              </w:rPr>
              <w:t>UE-sided model or NW-sided model</w:t>
            </w:r>
          </w:p>
        </w:tc>
      </w:tr>
      <w:tr w:rsidR="001554A1">
        <w:trPr>
          <w:trHeight w:val="399"/>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Collaboration/interaction between UE and NW</w:t>
            </w:r>
          </w:p>
        </w:tc>
        <w:tc>
          <w:tcPr>
            <w:tcW w:w="3227" w:type="pct"/>
          </w:tcPr>
          <w:p w:rsidR="001554A1" w:rsidRDefault="00FE1B65">
            <w:pPr>
              <w:snapToGrid w:val="0"/>
              <w:spacing w:beforeLines="0" w:afterLines="0" w:after="0" w:line="240" w:lineRule="auto"/>
              <w:rPr>
                <w:sz w:val="20"/>
                <w:lang w:eastAsia="en-GB"/>
              </w:rPr>
            </w:pPr>
            <w:r>
              <w:rPr>
                <w:sz w:val="20"/>
              </w:rPr>
              <w:t xml:space="preserve">Similar to </w:t>
            </w:r>
            <w:r>
              <w:rPr>
                <w:sz w:val="20"/>
                <w:lang w:eastAsia="en-GB"/>
              </w:rPr>
              <w:t>UE-sided or NW-sided mode</w:t>
            </w:r>
            <w:r>
              <w:rPr>
                <w:sz w:val="20"/>
              </w:rPr>
              <w:t>l</w:t>
            </w:r>
            <w:r>
              <w:rPr>
                <w:sz w:val="20"/>
                <w:lang w:eastAsia="en-GB"/>
              </w:rPr>
              <w:t xml:space="preserve"> in NR</w:t>
            </w:r>
          </w:p>
        </w:tc>
      </w:tr>
      <w:tr w:rsidR="001554A1">
        <w:trPr>
          <w:trHeight w:val="43"/>
          <w:jc w:val="center"/>
        </w:trPr>
        <w:tc>
          <w:tcPr>
            <w:tcW w:w="1773" w:type="pct"/>
            <w:noWrap/>
          </w:tcPr>
          <w:p w:rsidR="001554A1" w:rsidRDefault="00FE1B65">
            <w:pPr>
              <w:snapToGrid w:val="0"/>
              <w:spacing w:beforeLines="0" w:afterLines="0" w:after="0" w:line="240" w:lineRule="auto"/>
              <w:rPr>
                <w:sz w:val="20"/>
                <w:lang w:eastAsia="en-GB"/>
              </w:rPr>
            </w:pPr>
            <w:r>
              <w:rPr>
                <w:sz w:val="20"/>
                <w:lang w:eastAsia="en-GB"/>
              </w:rPr>
              <w:t>Potential spec impact</w:t>
            </w:r>
          </w:p>
        </w:tc>
        <w:tc>
          <w:tcPr>
            <w:tcW w:w="3227" w:type="pct"/>
          </w:tcPr>
          <w:p w:rsidR="001554A1" w:rsidRDefault="00FE1B65">
            <w:pPr>
              <w:snapToGrid w:val="0"/>
              <w:spacing w:beforeLines="0" w:afterLines="0" w:after="0" w:line="240" w:lineRule="auto"/>
              <w:rPr>
                <w:sz w:val="20"/>
                <w:lang w:eastAsia="en-GB"/>
              </w:rPr>
            </w:pPr>
            <w:r>
              <w:rPr>
                <w:sz w:val="20"/>
                <w:lang w:eastAsia="en-GB"/>
              </w:rPr>
              <w:t xml:space="preserve">1. Initial access/Random access related to beam prediction </w:t>
            </w:r>
          </w:p>
          <w:p w:rsidR="001554A1" w:rsidRDefault="00FE1B65">
            <w:pPr>
              <w:snapToGrid w:val="0"/>
              <w:spacing w:beforeLines="0" w:afterLines="0" w:after="0" w:line="240" w:lineRule="auto"/>
              <w:rPr>
                <w:sz w:val="20"/>
                <w:lang w:eastAsia="en-GB"/>
              </w:rPr>
            </w:pPr>
            <w:r>
              <w:rPr>
                <w:sz w:val="20"/>
                <w:lang w:eastAsia="en-GB"/>
              </w:rPr>
              <w:t>2. Signalling/ procedure related to LCM for NW-sided model or UE-sided model</w:t>
            </w:r>
          </w:p>
        </w:tc>
      </w:tr>
    </w:tbl>
    <w:p w:rsidR="001554A1" w:rsidRDefault="00FE1B65">
      <w:pPr>
        <w:snapToGrid w:val="0"/>
        <w:spacing w:before="120" w:after="120"/>
        <w:rPr>
          <w:b/>
          <w:bCs/>
          <w:i/>
          <w:sz w:val="20"/>
        </w:rPr>
      </w:pPr>
      <w:r>
        <w:rPr>
          <w:b/>
          <w:bCs/>
          <w:i/>
          <w:sz w:val="20"/>
        </w:rPr>
        <w:t>#Featur</w:t>
      </w:r>
      <w:r>
        <w:rPr>
          <w:rFonts w:hint="eastAsia"/>
          <w:b/>
          <w:bCs/>
          <w:i/>
          <w:sz w:val="20"/>
        </w:rPr>
        <w:t>e</w:t>
      </w:r>
      <w:r>
        <w:rPr>
          <w:b/>
          <w:bCs/>
          <w:i/>
          <w:sz w:val="20"/>
        </w:rPr>
        <w:t>-3:</w:t>
      </w:r>
      <w:r>
        <w:rPr>
          <w:rFonts w:hint="eastAsia"/>
          <w:b/>
          <w:bCs/>
          <w:i/>
          <w:sz w:val="20"/>
        </w:rPr>
        <w:t xml:space="preserve"> </w:t>
      </w:r>
      <w:r>
        <w:rPr>
          <w:b/>
          <w:bCs/>
          <w:i/>
          <w:sz w:val="20"/>
        </w:rPr>
        <w:t xml:space="preserve">Flexible </w:t>
      </w:r>
      <w:r>
        <w:rPr>
          <w:rFonts w:hint="eastAsia"/>
          <w:b/>
          <w:bCs/>
          <w:i/>
          <w:sz w:val="20"/>
        </w:rPr>
        <w:t>periodicity</w:t>
      </w:r>
      <w:r>
        <w:rPr>
          <w:b/>
          <w:bCs/>
          <w:i/>
          <w:sz w:val="20"/>
        </w:rPr>
        <w:t xml:space="preserve"> for SSB</w:t>
      </w:r>
      <w:r>
        <w:rPr>
          <w:rFonts w:hint="eastAsia"/>
          <w:b/>
          <w:bCs/>
          <w:i/>
          <w:sz w:val="20"/>
        </w:rPr>
        <w:t xml:space="preserve"> transmission</w:t>
      </w:r>
    </w:p>
    <w:p w:rsidR="001554A1" w:rsidRDefault="00FE1B65">
      <w:pPr>
        <w:snapToGrid w:val="0"/>
        <w:spacing w:before="120" w:after="120"/>
        <w:rPr>
          <w:bCs/>
          <w:iCs/>
          <w:sz w:val="20"/>
        </w:rPr>
      </w:pPr>
      <w:r>
        <w:rPr>
          <w:rFonts w:hint="eastAsia"/>
          <w:bCs/>
          <w:iCs/>
          <w:sz w:val="20"/>
        </w:rPr>
        <w:t xml:space="preserve">In various deployment scenarios or under differing requirements, diverse configuration needs </w:t>
      </w:r>
      <w:r>
        <w:rPr>
          <w:bCs/>
          <w:iCs/>
          <w:sz w:val="20"/>
        </w:rPr>
        <w:t xml:space="preserve">to be supported, e.g., </w:t>
      </w:r>
      <w:r>
        <w:rPr>
          <w:rFonts w:hint="eastAsia"/>
          <w:bCs/>
          <w:iCs/>
          <w:sz w:val="20"/>
        </w:rPr>
        <w:t>transmission period</w:t>
      </w:r>
      <w:r>
        <w:rPr>
          <w:bCs/>
          <w:iCs/>
          <w:sz w:val="20"/>
        </w:rPr>
        <w:t xml:space="preserve"> as shown in Figure </w:t>
      </w:r>
      <w:r w:rsidR="006C54BA">
        <w:rPr>
          <w:bCs/>
          <w:iCs/>
          <w:sz w:val="20"/>
        </w:rPr>
        <w:t>3.2-5</w:t>
      </w:r>
      <w:r>
        <w:rPr>
          <w:rFonts w:hint="eastAsia"/>
          <w:bCs/>
          <w:iCs/>
          <w:sz w:val="20"/>
        </w:rPr>
        <w:t xml:space="preserve">, </w:t>
      </w:r>
      <w:r>
        <w:rPr>
          <w:bCs/>
          <w:iCs/>
          <w:sz w:val="20"/>
        </w:rPr>
        <w:t xml:space="preserve">for </w:t>
      </w:r>
      <w:r>
        <w:rPr>
          <w:rFonts w:hint="eastAsia"/>
          <w:bCs/>
          <w:iCs/>
          <w:sz w:val="20"/>
        </w:rPr>
        <w:t>flexible and adaptive adjustments. For example,</w:t>
      </w:r>
    </w:p>
    <w:p w:rsidR="001554A1" w:rsidRDefault="00FE1B65">
      <w:pPr>
        <w:snapToGrid w:val="0"/>
        <w:spacing w:before="120" w:after="120"/>
        <w:rPr>
          <w:sz w:val="20"/>
        </w:rPr>
      </w:pPr>
      <w:r>
        <w:rPr>
          <w:sz w:val="20"/>
        </w:rPr>
        <w:t xml:space="preserve">For </w:t>
      </w:r>
      <w:r>
        <w:rPr>
          <w:rFonts w:hint="eastAsia"/>
          <w:sz w:val="20"/>
        </w:rPr>
        <w:t>NES operation</w:t>
      </w:r>
      <w:r>
        <w:rPr>
          <w:sz w:val="20"/>
        </w:rPr>
        <w:t xml:space="preserve"> along with ensured </w:t>
      </w:r>
      <w:r>
        <w:rPr>
          <w:rFonts w:hint="eastAsia"/>
          <w:sz w:val="20"/>
        </w:rPr>
        <w:t>detection performance, ad</w:t>
      </w:r>
      <w:r>
        <w:rPr>
          <w:sz w:val="20"/>
        </w:rPr>
        <w:t xml:space="preserve">aptable </w:t>
      </w:r>
      <w:r>
        <w:rPr>
          <w:rFonts w:hint="eastAsia"/>
          <w:sz w:val="20"/>
        </w:rPr>
        <w:t>periodicity management for SSB transmission can be achieved via adding/removing a group of SSB transmissions. For RRC non-connected state, a semi-static configuration adjustment appears to be a more practical and feasible approach. In contrast, for RRC connected state, more dynamic adaptation mechanisms can be studied to effectively respond to rapid fluctuations in traffic demand.</w:t>
      </w:r>
    </w:p>
    <w:p w:rsidR="001554A1" w:rsidRDefault="00FE1B65">
      <w:pPr>
        <w:spacing w:before="120" w:after="120"/>
        <w:jc w:val="center"/>
      </w:pPr>
      <w:r>
        <w:rPr>
          <w:noProof/>
        </w:rPr>
        <w:drawing>
          <wp:inline distT="0" distB="0" distL="114300" distR="114300">
            <wp:extent cx="3032125" cy="1286510"/>
            <wp:effectExtent l="0" t="0" r="0" b="889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7"/>
                    <a:stretch>
                      <a:fillRect/>
                    </a:stretch>
                  </pic:blipFill>
                  <pic:spPr>
                    <a:xfrm>
                      <a:off x="0" y="0"/>
                      <a:ext cx="3042302" cy="1290857"/>
                    </a:xfrm>
                    <a:prstGeom prst="rect">
                      <a:avLst/>
                    </a:prstGeom>
                    <a:noFill/>
                    <a:ln>
                      <a:noFill/>
                    </a:ln>
                  </pic:spPr>
                </pic:pic>
              </a:graphicData>
            </a:graphic>
          </wp:inline>
        </w:drawing>
      </w:r>
    </w:p>
    <w:p w:rsidR="001554A1" w:rsidRDefault="00FE1B65">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sidR="006C54BA">
        <w:rPr>
          <w:rFonts w:eastAsia="宋体"/>
          <w:sz w:val="20"/>
          <w:szCs w:val="20"/>
        </w:rPr>
        <w:t>3.2-5</w:t>
      </w:r>
      <w:r>
        <w:rPr>
          <w:rFonts w:eastAsia="宋体" w:hint="eastAsia"/>
          <w:sz w:val="20"/>
          <w:szCs w:val="20"/>
        </w:rPr>
        <w:t>: SSB group adding/removing for different transmission periods</w:t>
      </w:r>
    </w:p>
    <w:p w:rsidR="001554A1" w:rsidRDefault="00FE1B65">
      <w:pPr>
        <w:tabs>
          <w:tab w:val="left" w:pos="420"/>
          <w:tab w:val="left" w:pos="840"/>
        </w:tabs>
        <w:spacing w:before="120" w:after="120"/>
        <w:rPr>
          <w:sz w:val="20"/>
        </w:rPr>
      </w:pPr>
      <w:r>
        <w:rPr>
          <w:rFonts w:hint="eastAsia"/>
          <w:sz w:val="20"/>
        </w:rPr>
        <w:t>To support different implementation</w:t>
      </w:r>
      <w:r>
        <w:rPr>
          <w:sz w:val="20"/>
        </w:rPr>
        <w:t xml:space="preserve"> in NTN operation(</w:t>
      </w:r>
      <w:r>
        <w:rPr>
          <w:rFonts w:hint="eastAsia"/>
          <w:sz w:val="20"/>
        </w:rPr>
        <w:t>e.g., NTN beam hopping with different modes</w:t>
      </w:r>
      <w:r>
        <w:rPr>
          <w:sz w:val="20"/>
        </w:rPr>
        <w:t xml:space="preserve">), load balance </w:t>
      </w:r>
      <w:r>
        <w:rPr>
          <w:rFonts w:hint="eastAsia"/>
          <w:sz w:val="20"/>
        </w:rPr>
        <w:t>operation</w:t>
      </w:r>
      <w:r>
        <w:rPr>
          <w:sz w:val="20"/>
        </w:rPr>
        <w:t xml:space="preserve"> c</w:t>
      </w:r>
      <w:r>
        <w:rPr>
          <w:rFonts w:hint="eastAsia"/>
          <w:sz w:val="20"/>
        </w:rPr>
        <w:t>ro</w:t>
      </w:r>
      <w:r>
        <w:rPr>
          <w:sz w:val="20"/>
        </w:rPr>
        <w:t xml:space="preserve">ss different beams and multi-node </w:t>
      </w:r>
      <w:r>
        <w:rPr>
          <w:rFonts w:hint="eastAsia"/>
          <w:sz w:val="20"/>
        </w:rPr>
        <w:t>operation</w:t>
      </w:r>
      <w:r>
        <w:rPr>
          <w:sz w:val="20"/>
        </w:rPr>
        <w:t xml:space="preserve"> (e.g., Cell-free/mTRP, or NCR/RIS), it’s </w:t>
      </w:r>
      <w:r>
        <w:rPr>
          <w:rFonts w:hint="eastAsia"/>
          <w:sz w:val="20"/>
        </w:rPr>
        <w:t>beneficial</w:t>
      </w:r>
      <w:r>
        <w:rPr>
          <w:sz w:val="20"/>
        </w:rPr>
        <w:t xml:space="preserve"> to enable flexible </w:t>
      </w:r>
      <w:r>
        <w:rPr>
          <w:rFonts w:hint="eastAsia"/>
          <w:sz w:val="20"/>
        </w:rPr>
        <w:t>periodicity</w:t>
      </w:r>
      <w:r>
        <w:rPr>
          <w:sz w:val="20"/>
        </w:rPr>
        <w:t xml:space="preserve"> </w:t>
      </w:r>
      <w:r>
        <w:rPr>
          <w:rFonts w:hint="eastAsia"/>
          <w:sz w:val="20"/>
        </w:rPr>
        <w:t>configuration. More specifically, in beam hopping employing wide beams, a reduced number of beams is anticipated, enabling the beam hopping to be completed within a shorter period. This allows an increased number of repeated transmission opportunities per unit time, thereby enhancing coverage performance. Conversely, in beam hopping utilizing narrow beams, a greater number of beams necessitates a longer beam hopping period to ensure full coverage. The adaptability of the hopping cycle enables the network to dynamically select operational modes based on traffic load and system overhead, thus improving resource utilization and service reliability.</w:t>
      </w:r>
    </w:p>
    <w:p w:rsidR="001554A1" w:rsidRDefault="00FE1B65">
      <w:pPr>
        <w:snapToGrid w:val="0"/>
        <w:spacing w:before="120" w:after="120"/>
        <w:rPr>
          <w:b/>
          <w:bCs/>
          <w:i/>
          <w:sz w:val="20"/>
        </w:rPr>
      </w:pPr>
      <w:r>
        <w:rPr>
          <w:b/>
          <w:bCs/>
          <w:i/>
          <w:sz w:val="20"/>
        </w:rPr>
        <w:t>#Featur</w:t>
      </w:r>
      <w:r>
        <w:rPr>
          <w:rFonts w:hint="eastAsia"/>
          <w:b/>
          <w:bCs/>
          <w:i/>
          <w:sz w:val="20"/>
        </w:rPr>
        <w:t>e</w:t>
      </w:r>
      <w:r>
        <w:rPr>
          <w:b/>
          <w:bCs/>
          <w:i/>
          <w:sz w:val="20"/>
        </w:rPr>
        <w:t>-</w:t>
      </w:r>
      <w:r>
        <w:rPr>
          <w:rFonts w:hint="eastAsia"/>
          <w:b/>
          <w:bCs/>
          <w:i/>
          <w:sz w:val="20"/>
        </w:rPr>
        <w:t>4</w:t>
      </w:r>
      <w:r>
        <w:rPr>
          <w:b/>
          <w:bCs/>
          <w:i/>
          <w:sz w:val="20"/>
        </w:rPr>
        <w:t>: S</w:t>
      </w:r>
      <w:r>
        <w:rPr>
          <w:rFonts w:hint="eastAsia"/>
          <w:b/>
          <w:bCs/>
          <w:i/>
          <w:sz w:val="20"/>
        </w:rPr>
        <w:t>haring among multi-SSBs</w:t>
      </w:r>
    </w:p>
    <w:p w:rsidR="001554A1" w:rsidRDefault="00FE1B65">
      <w:pPr>
        <w:snapToGrid w:val="0"/>
        <w:spacing w:before="120" w:after="120"/>
        <w:rPr>
          <w:bCs/>
          <w:iCs/>
          <w:sz w:val="20"/>
        </w:rPr>
      </w:pPr>
      <w:r>
        <w:rPr>
          <w:bCs/>
          <w:iCs/>
          <w:sz w:val="20"/>
        </w:rPr>
        <w:lastRenderedPageBreak/>
        <w:t xml:space="preserve">In the legacy design, each SSB </w:t>
      </w:r>
      <w:r w:rsidR="00CA3763">
        <w:rPr>
          <w:bCs/>
          <w:iCs/>
          <w:sz w:val="20"/>
        </w:rPr>
        <w:t>is</w:t>
      </w:r>
      <w:r>
        <w:rPr>
          <w:bCs/>
          <w:iCs/>
          <w:sz w:val="20"/>
        </w:rPr>
        <w:t xml:space="preserve"> </w:t>
      </w:r>
      <w:r>
        <w:rPr>
          <w:rFonts w:hint="eastAsia"/>
          <w:bCs/>
          <w:iCs/>
          <w:sz w:val="20"/>
        </w:rPr>
        <w:t>associated</w:t>
      </w:r>
      <w:r>
        <w:rPr>
          <w:bCs/>
          <w:iCs/>
          <w:sz w:val="20"/>
        </w:rPr>
        <w:t xml:space="preserve"> with corresponding common channels, e.g., SIB, which may lead to </w:t>
      </w:r>
      <w:r>
        <w:rPr>
          <w:rFonts w:hint="eastAsia"/>
          <w:bCs/>
          <w:iCs/>
          <w:sz w:val="20"/>
        </w:rPr>
        <w:t>unnecessary</w:t>
      </w:r>
      <w:r>
        <w:rPr>
          <w:bCs/>
          <w:iCs/>
          <w:sz w:val="20"/>
        </w:rPr>
        <w:t xml:space="preserve"> </w:t>
      </w:r>
      <w:r>
        <w:rPr>
          <w:rFonts w:hint="eastAsia"/>
          <w:bCs/>
          <w:iCs/>
          <w:sz w:val="20"/>
        </w:rPr>
        <w:t>higher</w:t>
      </w:r>
      <w:r>
        <w:rPr>
          <w:bCs/>
          <w:iCs/>
          <w:sz w:val="20"/>
        </w:rPr>
        <w:t xml:space="preserve"> ove</w:t>
      </w:r>
      <w:r>
        <w:rPr>
          <w:rFonts w:hint="eastAsia"/>
          <w:bCs/>
          <w:iCs/>
          <w:sz w:val="20"/>
        </w:rPr>
        <w:t>r</w:t>
      </w:r>
      <w:r>
        <w:rPr>
          <w:bCs/>
          <w:iCs/>
          <w:sz w:val="20"/>
        </w:rPr>
        <w:t xml:space="preserve">head. For group based operation, sharing among </w:t>
      </w:r>
      <w:r>
        <w:rPr>
          <w:rFonts w:hint="eastAsia"/>
          <w:bCs/>
          <w:iCs/>
          <w:sz w:val="20"/>
        </w:rPr>
        <w:t xml:space="preserve">SSBs </w:t>
      </w:r>
      <w:r>
        <w:rPr>
          <w:bCs/>
          <w:iCs/>
          <w:sz w:val="20"/>
        </w:rPr>
        <w:t xml:space="preserve">can be achieved </w:t>
      </w:r>
      <w:r>
        <w:rPr>
          <w:rFonts w:hint="eastAsia"/>
          <w:bCs/>
          <w:iCs/>
          <w:sz w:val="20"/>
        </w:rPr>
        <w:t>easily</w:t>
      </w:r>
      <w:r>
        <w:rPr>
          <w:bCs/>
          <w:iCs/>
          <w:sz w:val="20"/>
        </w:rPr>
        <w:t xml:space="preserve">. For example, either SIB-1 or OSI can be shared to reduced common channel overhead. Additionally, in some cases, only partial </w:t>
      </w:r>
      <w:r>
        <w:rPr>
          <w:rFonts w:hint="eastAsia"/>
          <w:bCs/>
          <w:iCs/>
          <w:sz w:val="20"/>
        </w:rPr>
        <w:t>component</w:t>
      </w:r>
      <w:r>
        <w:rPr>
          <w:bCs/>
          <w:iCs/>
          <w:sz w:val="20"/>
        </w:rPr>
        <w:t xml:space="preserve"> </w:t>
      </w:r>
      <w:r>
        <w:rPr>
          <w:rFonts w:hint="eastAsia"/>
          <w:bCs/>
          <w:iCs/>
          <w:sz w:val="20"/>
        </w:rPr>
        <w:t>can</w:t>
      </w:r>
      <w:r>
        <w:rPr>
          <w:bCs/>
          <w:iCs/>
          <w:sz w:val="20"/>
        </w:rPr>
        <w:t xml:space="preserve"> be transmitted in some SSBs in one group by assuming that common part is shared with others. </w:t>
      </w:r>
    </w:p>
    <w:p w:rsidR="001554A1" w:rsidRDefault="00FE1B65">
      <w:pPr>
        <w:snapToGrid w:val="0"/>
        <w:spacing w:before="120" w:after="120"/>
        <w:rPr>
          <w:bCs/>
          <w:i/>
          <w:sz w:val="20"/>
        </w:rPr>
      </w:pPr>
      <w:r>
        <w:rPr>
          <w:b/>
          <w:bCs/>
          <w:i/>
          <w:sz w:val="20"/>
        </w:rPr>
        <w:t xml:space="preserve">Proposal </w:t>
      </w:r>
      <w:r>
        <w:rPr>
          <w:rFonts w:hint="eastAsia"/>
          <w:b/>
          <w:bCs/>
          <w:i/>
          <w:sz w:val="20"/>
        </w:rPr>
        <w:t>7</w:t>
      </w:r>
      <w:r>
        <w:rPr>
          <w:bCs/>
          <w:i/>
          <w:sz w:val="20"/>
        </w:rPr>
        <w:t xml:space="preserve">: </w:t>
      </w:r>
      <w:r w:rsidR="00DA673C">
        <w:rPr>
          <w:bCs/>
          <w:i/>
          <w:sz w:val="20"/>
        </w:rPr>
        <w:t>M</w:t>
      </w:r>
      <w:r>
        <w:rPr>
          <w:rFonts w:hint="eastAsia"/>
          <w:bCs/>
          <w:i/>
          <w:sz w:val="20"/>
        </w:rPr>
        <w:t>ulti-</w:t>
      </w:r>
      <w:r>
        <w:rPr>
          <w:bCs/>
          <w:i/>
          <w:sz w:val="20"/>
        </w:rPr>
        <w:t>SSB</w:t>
      </w:r>
      <w:r>
        <w:rPr>
          <w:rFonts w:hint="eastAsia"/>
          <w:bCs/>
          <w:i/>
          <w:sz w:val="20"/>
        </w:rPr>
        <w:t>s</w:t>
      </w:r>
      <w:r>
        <w:rPr>
          <w:bCs/>
          <w:i/>
          <w:sz w:val="20"/>
        </w:rPr>
        <w:t xml:space="preserve"> based framework should be studied to support the various needs in 6G.</w:t>
      </w:r>
    </w:p>
    <w:p w:rsidR="001554A1" w:rsidRDefault="00FE1B65">
      <w:pPr>
        <w:snapToGrid w:val="0"/>
        <w:spacing w:before="120" w:after="120"/>
        <w:rPr>
          <w:i/>
          <w:sz w:val="20"/>
        </w:rPr>
      </w:pPr>
      <w:r>
        <w:rPr>
          <w:b/>
          <w:bCs/>
          <w:i/>
          <w:sz w:val="20"/>
        </w:rPr>
        <w:t xml:space="preserve">Proposal </w:t>
      </w:r>
      <w:r>
        <w:rPr>
          <w:rFonts w:hint="eastAsia"/>
          <w:b/>
          <w:bCs/>
          <w:i/>
          <w:sz w:val="20"/>
        </w:rPr>
        <w:t>8</w:t>
      </w:r>
      <w:r>
        <w:rPr>
          <w:b/>
          <w:bCs/>
          <w:i/>
          <w:sz w:val="20"/>
        </w:rPr>
        <w:t>:</w:t>
      </w:r>
      <w:r>
        <w:rPr>
          <w:i/>
          <w:sz w:val="20"/>
        </w:rPr>
        <w:t xml:space="preserve"> </w:t>
      </w:r>
      <w:r>
        <w:rPr>
          <w:rFonts w:hint="eastAsia"/>
          <w:i/>
          <w:sz w:val="20"/>
        </w:rPr>
        <w:t xml:space="preserve">The </w:t>
      </w:r>
      <w:r>
        <w:rPr>
          <w:i/>
          <w:sz w:val="20"/>
        </w:rPr>
        <w:t xml:space="preserve">following </w:t>
      </w:r>
      <w:r>
        <w:rPr>
          <w:rFonts w:hint="eastAsia"/>
          <w:i/>
          <w:sz w:val="20"/>
        </w:rPr>
        <w:t xml:space="preserve">key </w:t>
      </w:r>
      <w:r>
        <w:rPr>
          <w:i/>
          <w:sz w:val="20"/>
        </w:rPr>
        <w:t xml:space="preserve">aspects can be </w:t>
      </w:r>
      <w:r>
        <w:rPr>
          <w:rFonts w:hint="eastAsia"/>
          <w:i/>
          <w:sz w:val="20"/>
        </w:rPr>
        <w:t>studied</w:t>
      </w:r>
      <w:r>
        <w:rPr>
          <w:i/>
          <w:sz w:val="20"/>
        </w:rPr>
        <w:t xml:space="preserve"> </w:t>
      </w:r>
      <w:r>
        <w:rPr>
          <w:rFonts w:hint="eastAsia"/>
          <w:i/>
          <w:sz w:val="20"/>
        </w:rPr>
        <w:t>along</w:t>
      </w:r>
      <w:r>
        <w:rPr>
          <w:i/>
          <w:sz w:val="20"/>
        </w:rPr>
        <w:t xml:space="preserve"> with multi-SSBs based framework:</w:t>
      </w:r>
      <w:r>
        <w:rPr>
          <w:rFonts w:hint="eastAsia"/>
          <w:i/>
          <w:sz w:val="20"/>
        </w:rPr>
        <w:t xml:space="preserve"> </w:t>
      </w:r>
    </w:p>
    <w:p w:rsidR="001554A1" w:rsidRDefault="00FE1B65">
      <w:pPr>
        <w:numPr>
          <w:ilvl w:val="0"/>
          <w:numId w:val="10"/>
        </w:numPr>
        <w:tabs>
          <w:tab w:val="clear" w:pos="840"/>
          <w:tab w:val="left" w:pos="420"/>
        </w:tabs>
        <w:spacing w:before="120" w:after="120"/>
        <w:ind w:left="840"/>
        <w:rPr>
          <w:i/>
          <w:iCs/>
          <w:sz w:val="20"/>
        </w:rPr>
      </w:pPr>
      <w:r>
        <w:rPr>
          <w:rFonts w:hint="eastAsia"/>
          <w:i/>
          <w:iCs/>
          <w:sz w:val="20"/>
        </w:rPr>
        <w:t xml:space="preserve">Cross SSBs mapping/processing </w:t>
      </w:r>
      <w:r>
        <w:rPr>
          <w:i/>
          <w:iCs/>
          <w:sz w:val="20"/>
        </w:rPr>
        <w:t xml:space="preserve">for </w:t>
      </w:r>
      <w:r>
        <w:rPr>
          <w:rFonts w:hint="eastAsia"/>
          <w:i/>
          <w:iCs/>
          <w:sz w:val="20"/>
        </w:rPr>
        <w:t>PBCH</w:t>
      </w:r>
      <w:r>
        <w:rPr>
          <w:i/>
          <w:iCs/>
          <w:sz w:val="20"/>
        </w:rPr>
        <w:t>.;</w:t>
      </w:r>
    </w:p>
    <w:p w:rsidR="001554A1" w:rsidRDefault="00FE1B65">
      <w:pPr>
        <w:numPr>
          <w:ilvl w:val="0"/>
          <w:numId w:val="10"/>
        </w:numPr>
        <w:tabs>
          <w:tab w:val="clear" w:pos="840"/>
          <w:tab w:val="left" w:pos="420"/>
        </w:tabs>
        <w:spacing w:before="120" w:after="120"/>
        <w:ind w:left="840"/>
        <w:rPr>
          <w:i/>
          <w:iCs/>
          <w:sz w:val="20"/>
        </w:rPr>
      </w:pPr>
      <w:r>
        <w:rPr>
          <w:i/>
          <w:iCs/>
          <w:sz w:val="20"/>
        </w:rPr>
        <w:t>Adaptive transmission of S</w:t>
      </w:r>
      <w:r>
        <w:rPr>
          <w:rFonts w:hint="eastAsia"/>
          <w:i/>
          <w:iCs/>
          <w:sz w:val="20"/>
        </w:rPr>
        <w:t>SB</w:t>
      </w:r>
      <w:r>
        <w:rPr>
          <w:i/>
          <w:iCs/>
          <w:sz w:val="20"/>
        </w:rPr>
        <w:t>(</w:t>
      </w:r>
      <w:r>
        <w:rPr>
          <w:rFonts w:hint="eastAsia"/>
          <w:i/>
          <w:iCs/>
          <w:sz w:val="20"/>
        </w:rPr>
        <w:t>s</w:t>
      </w:r>
      <w:r>
        <w:rPr>
          <w:i/>
          <w:iCs/>
          <w:sz w:val="20"/>
        </w:rPr>
        <w:t>)</w:t>
      </w:r>
      <w:r>
        <w:rPr>
          <w:rFonts w:hint="eastAsia"/>
          <w:i/>
          <w:iCs/>
          <w:sz w:val="20"/>
        </w:rPr>
        <w:t>, which facilitates efficient NES or AI/ML operations and supports advanced deployment scenarios such as multi-carrier/TRP configurations;</w:t>
      </w:r>
    </w:p>
    <w:p w:rsidR="001554A1" w:rsidRDefault="00FE1B65">
      <w:pPr>
        <w:numPr>
          <w:ilvl w:val="0"/>
          <w:numId w:val="10"/>
        </w:numPr>
        <w:tabs>
          <w:tab w:val="clear" w:pos="840"/>
          <w:tab w:val="left" w:pos="420"/>
        </w:tabs>
        <w:spacing w:before="120" w:after="120"/>
        <w:ind w:left="840"/>
        <w:rPr>
          <w:i/>
          <w:iCs/>
          <w:sz w:val="20"/>
        </w:rPr>
      </w:pPr>
      <w:r>
        <w:rPr>
          <w:i/>
          <w:iCs/>
          <w:sz w:val="20"/>
        </w:rPr>
        <w:t>Flexible</w:t>
      </w:r>
      <w:r>
        <w:rPr>
          <w:rFonts w:hint="eastAsia"/>
          <w:i/>
          <w:iCs/>
          <w:sz w:val="20"/>
        </w:rPr>
        <w:t xml:space="preserve"> SSB transmission periodicity</w:t>
      </w:r>
      <w:r>
        <w:rPr>
          <w:i/>
          <w:iCs/>
          <w:sz w:val="20"/>
        </w:rPr>
        <w:t>;</w:t>
      </w:r>
    </w:p>
    <w:p w:rsidR="001554A1" w:rsidRDefault="00FE1B65">
      <w:pPr>
        <w:numPr>
          <w:ilvl w:val="0"/>
          <w:numId w:val="10"/>
        </w:numPr>
        <w:tabs>
          <w:tab w:val="clear" w:pos="840"/>
          <w:tab w:val="left" w:pos="420"/>
        </w:tabs>
        <w:spacing w:before="120" w:after="120"/>
        <w:ind w:left="840"/>
        <w:rPr>
          <w:i/>
          <w:iCs/>
          <w:sz w:val="20"/>
        </w:rPr>
      </w:pPr>
      <w:r>
        <w:rPr>
          <w:i/>
          <w:iCs/>
          <w:sz w:val="20"/>
        </w:rPr>
        <w:t>Information sharing among SSBs</w:t>
      </w:r>
      <w:r>
        <w:rPr>
          <w:rFonts w:hint="eastAsia"/>
          <w:i/>
          <w:iCs/>
          <w:sz w:val="20"/>
        </w:rPr>
        <w:t>.</w:t>
      </w:r>
    </w:p>
    <w:p w:rsidR="001554A1"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b/>
          <w:sz w:val="20"/>
        </w:rPr>
      </w:pPr>
      <w:r>
        <w:rPr>
          <w:rFonts w:eastAsia="黑体"/>
          <w:b/>
          <w:bCs/>
          <w:kern w:val="0"/>
          <w:sz w:val="20"/>
        </w:rPr>
        <w:t xml:space="preserve">Support of </w:t>
      </w:r>
      <w:r>
        <w:rPr>
          <w:b/>
          <w:sz w:val="20"/>
        </w:rPr>
        <w:t>Multi-carrier/TRPs operation during cell search procedure</w:t>
      </w:r>
    </w:p>
    <w:p w:rsidR="001554A1" w:rsidRDefault="00FE1B65">
      <w:pPr>
        <w:pStyle w:val="4"/>
        <w:spacing w:after="120" w:line="240" w:lineRule="auto"/>
        <w:rPr>
          <w:sz w:val="20"/>
          <w:lang w:val="zh-CN"/>
        </w:rPr>
      </w:pPr>
      <w:r>
        <w:rPr>
          <w:bCs/>
          <w:kern w:val="0"/>
          <w:sz w:val="20"/>
          <w:lang w:val="zh-CN"/>
        </w:rPr>
        <w:t>3.2.</w:t>
      </w:r>
      <w:r w:rsidR="00792981">
        <w:rPr>
          <w:bCs/>
          <w:kern w:val="0"/>
          <w:sz w:val="20"/>
          <w:lang w:val="zh-CN"/>
        </w:rPr>
        <w:t>2</w:t>
      </w:r>
      <w:r>
        <w:rPr>
          <w:bCs/>
          <w:kern w:val="0"/>
          <w:sz w:val="20"/>
          <w:lang w:val="zh-CN"/>
        </w:rPr>
        <w:t xml:space="preserve">.1 Views on </w:t>
      </w:r>
      <w:r>
        <w:rPr>
          <w:sz w:val="20"/>
        </w:rPr>
        <w:t>m</w:t>
      </w:r>
      <w:r>
        <w:rPr>
          <w:sz w:val="20"/>
          <w:lang w:val="zh-CN"/>
        </w:rPr>
        <w:t>ulti-carrier</w:t>
      </w:r>
      <w:r>
        <w:rPr>
          <w:sz w:val="20"/>
        </w:rPr>
        <w:t xml:space="preserve"> operation</w:t>
      </w:r>
    </w:p>
    <w:p w:rsidR="001554A1" w:rsidRPr="00993935" w:rsidRDefault="00FE1B65">
      <w:pPr>
        <w:snapToGrid w:val="0"/>
        <w:spacing w:before="120" w:after="120"/>
        <w:rPr>
          <w:bCs/>
          <w:iCs/>
          <w:sz w:val="20"/>
        </w:rPr>
      </w:pPr>
      <w:r w:rsidRPr="00BA0E2D">
        <w:rPr>
          <w:sz w:val="20"/>
        </w:rPr>
        <w:t xml:space="preserve">As mentioned in </w:t>
      </w:r>
      <w:r w:rsidRPr="00BA0E2D">
        <w:rPr>
          <w:sz w:val="20"/>
        </w:rPr>
        <w:fldChar w:fldCharType="begin"/>
      </w:r>
      <w:r w:rsidRPr="00BA0E2D">
        <w:rPr>
          <w:sz w:val="20"/>
        </w:rPr>
        <w:instrText xml:space="preserve"> REF _Ref220157828 \r \h </w:instrText>
      </w:r>
      <w:r w:rsidR="00993935">
        <w:rPr>
          <w:sz w:val="20"/>
        </w:rPr>
        <w:instrText xml:space="preserve"> \* MERGEFORMAT </w:instrText>
      </w:r>
      <w:r w:rsidRPr="00BA0E2D">
        <w:rPr>
          <w:sz w:val="20"/>
        </w:rPr>
      </w:r>
      <w:r w:rsidRPr="00BA0E2D">
        <w:rPr>
          <w:sz w:val="20"/>
        </w:rPr>
        <w:fldChar w:fldCharType="separate"/>
      </w:r>
      <w:r w:rsidRPr="00BA0E2D">
        <w:rPr>
          <w:sz w:val="20"/>
        </w:rPr>
        <w:t>[2]</w:t>
      </w:r>
      <w:r w:rsidRPr="00BA0E2D">
        <w:rPr>
          <w:sz w:val="20"/>
        </w:rPr>
        <w:fldChar w:fldCharType="end"/>
      </w:r>
      <w:r w:rsidRPr="00BA0E2D">
        <w:rPr>
          <w:sz w:val="20"/>
        </w:rPr>
        <w:t>, multi-carrier operation is expected to supported via various deployment assumption. For exam</w:t>
      </w:r>
      <w:r w:rsidRPr="00BA0E2D">
        <w:rPr>
          <w:rFonts w:hint="eastAsia"/>
          <w:sz w:val="20"/>
        </w:rPr>
        <w:t>p</w:t>
      </w:r>
      <w:r w:rsidRPr="00BA0E2D">
        <w:rPr>
          <w:sz w:val="20"/>
        </w:rPr>
        <w:t xml:space="preserve">le, as shown in Figure </w:t>
      </w:r>
      <w:r w:rsidR="00993935">
        <w:rPr>
          <w:sz w:val="20"/>
        </w:rPr>
        <w:t>3.2-6</w:t>
      </w:r>
      <w:r w:rsidRPr="00BA0E2D">
        <w:rPr>
          <w:sz w:val="20"/>
        </w:rPr>
        <w:t>, both co- and non-colocated operation cross different carrier/cells are assumed. To en</w:t>
      </w:r>
      <w:r w:rsidRPr="00BA0E2D">
        <w:rPr>
          <w:rFonts w:hint="eastAsia"/>
          <w:sz w:val="20"/>
        </w:rPr>
        <w:t>a</w:t>
      </w:r>
      <w:r w:rsidRPr="00BA0E2D">
        <w:rPr>
          <w:sz w:val="20"/>
        </w:rPr>
        <w:t xml:space="preserve">ble the corresponding operation in initial access stage, </w:t>
      </w:r>
      <w:r w:rsidRPr="00993935">
        <w:rPr>
          <w:bCs/>
          <w:iCs/>
          <w:sz w:val="20"/>
        </w:rPr>
        <w:t xml:space="preserve">especially for </w:t>
      </w:r>
      <w:r w:rsidRPr="00993935">
        <w:rPr>
          <w:rFonts w:hint="eastAsia"/>
          <w:bCs/>
          <w:iCs/>
          <w:sz w:val="20"/>
        </w:rPr>
        <w:t>cell search procedure</w:t>
      </w:r>
      <w:r w:rsidRPr="00993935">
        <w:rPr>
          <w:bCs/>
          <w:iCs/>
          <w:sz w:val="20"/>
        </w:rPr>
        <w:t xml:space="preserve">, by assuming that UE </w:t>
      </w:r>
      <w:r w:rsidRPr="00993935">
        <w:rPr>
          <w:rFonts w:hint="eastAsia"/>
          <w:bCs/>
          <w:iCs/>
          <w:sz w:val="20"/>
        </w:rPr>
        <w:t xml:space="preserve">is not required </w:t>
      </w:r>
      <w:r w:rsidRPr="00193851">
        <w:rPr>
          <w:bCs/>
          <w:iCs/>
          <w:sz w:val="20"/>
        </w:rPr>
        <w:t>to support simultaneous transmission/reception across multi-carrier</w:t>
      </w:r>
      <w:r w:rsidRPr="00193851">
        <w:rPr>
          <w:rFonts w:hint="eastAsia"/>
          <w:bCs/>
          <w:iCs/>
          <w:sz w:val="20"/>
        </w:rPr>
        <w:t xml:space="preserve">, </w:t>
      </w:r>
      <w:r w:rsidRPr="00193851">
        <w:rPr>
          <w:bCs/>
          <w:iCs/>
          <w:sz w:val="20"/>
        </w:rPr>
        <w:t xml:space="preserve">SSB </w:t>
      </w:r>
      <w:r w:rsidRPr="002815AB">
        <w:rPr>
          <w:rFonts w:hint="eastAsia"/>
          <w:bCs/>
          <w:iCs/>
          <w:sz w:val="20"/>
        </w:rPr>
        <w:t>can be transmitted in one carrier for co-located deployment fo</w:t>
      </w:r>
      <w:r w:rsidRPr="00797447">
        <w:rPr>
          <w:rFonts w:hint="eastAsia"/>
          <w:bCs/>
          <w:iCs/>
          <w:sz w:val="20"/>
        </w:rPr>
        <w:t>r cross-frequency reference, or both carriers under non-colocated deployment</w:t>
      </w:r>
      <w:r w:rsidR="000622C3">
        <w:rPr>
          <w:bCs/>
          <w:iCs/>
          <w:sz w:val="20"/>
        </w:rPr>
        <w:t xml:space="preserve"> for</w:t>
      </w:r>
      <w:r w:rsidR="000622C3" w:rsidRPr="00193851">
        <w:rPr>
          <w:bCs/>
          <w:iCs/>
          <w:sz w:val="20"/>
        </w:rPr>
        <w:t xml:space="preserve"> DL synchronization or other measurement</w:t>
      </w:r>
      <w:r w:rsidRPr="00797447">
        <w:rPr>
          <w:rFonts w:hint="eastAsia"/>
          <w:bCs/>
          <w:iCs/>
          <w:sz w:val="20"/>
        </w:rPr>
        <w:t xml:space="preserve">. </w:t>
      </w:r>
      <w:r w:rsidRPr="00252ADC">
        <w:rPr>
          <w:bCs/>
          <w:iCs/>
          <w:sz w:val="20"/>
        </w:rPr>
        <w:t xml:space="preserve">The corresponding association for RACH resource along with procedure should also be jointly considered with details in </w:t>
      </w:r>
      <w:r w:rsidRPr="00993935">
        <w:rPr>
          <w:bCs/>
          <w:iCs/>
          <w:sz w:val="20"/>
        </w:rPr>
        <w:fldChar w:fldCharType="begin"/>
      </w:r>
      <w:r w:rsidRPr="00BA0E2D">
        <w:rPr>
          <w:bCs/>
          <w:iCs/>
          <w:sz w:val="20"/>
        </w:rPr>
        <w:instrText xml:space="preserve"> REF _Ref220158419 \r \h </w:instrText>
      </w:r>
      <w:r w:rsidR="00993935">
        <w:rPr>
          <w:bCs/>
          <w:iCs/>
          <w:sz w:val="20"/>
        </w:rPr>
        <w:instrText xml:space="preserve"> \* MERGEFORMAT </w:instrText>
      </w:r>
      <w:r w:rsidRPr="00993935">
        <w:rPr>
          <w:bCs/>
          <w:iCs/>
          <w:sz w:val="20"/>
        </w:rPr>
      </w:r>
      <w:r w:rsidRPr="00993935">
        <w:rPr>
          <w:bCs/>
          <w:iCs/>
          <w:sz w:val="20"/>
        </w:rPr>
        <w:fldChar w:fldCharType="separate"/>
      </w:r>
      <w:r w:rsidRPr="00993935">
        <w:rPr>
          <w:bCs/>
          <w:iCs/>
          <w:sz w:val="20"/>
        </w:rPr>
        <w:t>[8]</w:t>
      </w:r>
      <w:r w:rsidRPr="00993935">
        <w:rPr>
          <w:bCs/>
          <w:iCs/>
          <w:sz w:val="20"/>
        </w:rPr>
        <w:fldChar w:fldCharType="end"/>
      </w:r>
      <w:r w:rsidRPr="00993935">
        <w:rPr>
          <w:bCs/>
          <w:iCs/>
          <w:sz w:val="20"/>
        </w:rPr>
        <w:t xml:space="preserve">. </w:t>
      </w:r>
    </w:p>
    <w:p w:rsidR="001554A1" w:rsidRDefault="00022004">
      <w:pPr>
        <w:spacing w:before="120" w:after="120"/>
        <w:jc w:val="center"/>
      </w:pPr>
      <w:r>
        <w:rPr>
          <w:noProof/>
        </w:rPr>
        <w:drawing>
          <wp:inline distT="0" distB="0" distL="0" distR="0" wp14:anchorId="2B990361" wp14:editId="282360B7">
            <wp:extent cx="5613721" cy="129882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641885" cy="1305343"/>
                    </a:xfrm>
                    <a:prstGeom prst="rect">
                      <a:avLst/>
                    </a:prstGeom>
                  </pic:spPr>
                </pic:pic>
              </a:graphicData>
            </a:graphic>
          </wp:inline>
        </w:drawing>
      </w:r>
    </w:p>
    <w:p w:rsidR="001554A1" w:rsidRDefault="00FE1B65">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sidR="00993935">
        <w:rPr>
          <w:rFonts w:eastAsia="宋体"/>
          <w:sz w:val="20"/>
          <w:szCs w:val="20"/>
        </w:rPr>
        <w:t>3.2-6</w:t>
      </w:r>
      <w:r>
        <w:rPr>
          <w:rFonts w:eastAsia="宋体" w:hint="eastAsia"/>
          <w:sz w:val="20"/>
          <w:szCs w:val="20"/>
        </w:rPr>
        <w:t>: Multi-carrier</w:t>
      </w:r>
      <w:r w:rsidR="00022004">
        <w:rPr>
          <w:rFonts w:eastAsia="宋体"/>
          <w:sz w:val="20"/>
          <w:szCs w:val="20"/>
        </w:rPr>
        <w:t>/</w:t>
      </w:r>
      <w:r w:rsidR="00022004">
        <w:rPr>
          <w:rFonts w:eastAsia="宋体" w:hint="eastAsia"/>
          <w:sz w:val="20"/>
          <w:szCs w:val="20"/>
        </w:rPr>
        <w:t>cell</w:t>
      </w:r>
      <w:bookmarkStart w:id="4" w:name="_GoBack"/>
      <w:bookmarkEnd w:id="4"/>
      <w:r>
        <w:rPr>
          <w:rFonts w:eastAsia="宋体" w:hint="eastAsia"/>
          <w:sz w:val="20"/>
          <w:szCs w:val="20"/>
        </w:rPr>
        <w:t xml:space="preserve"> operation during IA procedure</w:t>
      </w:r>
    </w:p>
    <w:p w:rsidR="001554A1" w:rsidRDefault="00FE1B65">
      <w:pPr>
        <w:snapToGrid w:val="0"/>
        <w:spacing w:before="120" w:after="120"/>
        <w:rPr>
          <w:sz w:val="20"/>
        </w:rPr>
      </w:pPr>
      <w:bookmarkStart w:id="5" w:name="_Hlk220162883"/>
      <w:r>
        <w:rPr>
          <w:b/>
          <w:bCs/>
          <w:i/>
          <w:sz w:val="20"/>
        </w:rPr>
        <w:t xml:space="preserve">Proposal </w:t>
      </w:r>
      <w:r>
        <w:rPr>
          <w:rFonts w:hint="eastAsia"/>
          <w:b/>
          <w:bCs/>
          <w:i/>
          <w:sz w:val="20"/>
        </w:rPr>
        <w:t>9</w:t>
      </w:r>
      <w:r>
        <w:rPr>
          <w:b/>
          <w:bCs/>
          <w:i/>
          <w:sz w:val="20"/>
        </w:rPr>
        <w:t>:</w:t>
      </w:r>
      <w:r>
        <w:rPr>
          <w:i/>
          <w:sz w:val="20"/>
        </w:rPr>
        <w:t xml:space="preserve"> </w:t>
      </w:r>
      <w:r w:rsidR="006C5C94">
        <w:rPr>
          <w:i/>
          <w:sz w:val="20"/>
        </w:rPr>
        <w:t>M</w:t>
      </w:r>
      <w:r>
        <w:rPr>
          <w:i/>
          <w:sz w:val="20"/>
        </w:rPr>
        <w:t>ulti-carrier operation based on both co-located and non-co-located assumption should be considered as a typical deployment scenarios for synchronization signal/channel design.</w:t>
      </w:r>
    </w:p>
    <w:bookmarkEnd w:id="5"/>
    <w:p w:rsidR="001554A1" w:rsidRDefault="00FE1B65">
      <w:pPr>
        <w:pStyle w:val="4"/>
        <w:spacing w:after="120" w:line="240" w:lineRule="auto"/>
        <w:rPr>
          <w:sz w:val="20"/>
        </w:rPr>
      </w:pPr>
      <w:r>
        <w:rPr>
          <w:bCs/>
          <w:kern w:val="0"/>
          <w:sz w:val="20"/>
        </w:rPr>
        <w:t>3.2.</w:t>
      </w:r>
      <w:r>
        <w:rPr>
          <w:rFonts w:hint="eastAsia"/>
          <w:bCs/>
          <w:kern w:val="0"/>
          <w:sz w:val="20"/>
        </w:rPr>
        <w:t>2</w:t>
      </w:r>
      <w:r>
        <w:rPr>
          <w:bCs/>
          <w:kern w:val="0"/>
          <w:sz w:val="20"/>
        </w:rPr>
        <w:t>.</w:t>
      </w:r>
      <w:r>
        <w:rPr>
          <w:rFonts w:hint="eastAsia"/>
          <w:bCs/>
          <w:kern w:val="0"/>
          <w:sz w:val="20"/>
        </w:rPr>
        <w:t>2</w:t>
      </w:r>
      <w:r>
        <w:rPr>
          <w:bCs/>
          <w:kern w:val="0"/>
          <w:sz w:val="20"/>
        </w:rPr>
        <w:t xml:space="preserve"> Views on </w:t>
      </w:r>
      <w:r>
        <w:rPr>
          <w:rFonts w:hint="eastAsia"/>
          <w:sz w:val="20"/>
        </w:rPr>
        <w:t>c</w:t>
      </w:r>
      <w:r>
        <w:rPr>
          <w:sz w:val="20"/>
        </w:rPr>
        <w:t>ell-free/</w:t>
      </w:r>
      <w:r w:rsidR="00FB0D9C">
        <w:rPr>
          <w:sz w:val="20"/>
        </w:rPr>
        <w:t>m</w:t>
      </w:r>
      <w:r>
        <w:rPr>
          <w:sz w:val="20"/>
        </w:rPr>
        <w:t>TRP operation</w:t>
      </w:r>
    </w:p>
    <w:p w:rsidR="001554A1" w:rsidRDefault="00FE1B65">
      <w:pPr>
        <w:snapToGrid w:val="0"/>
        <w:spacing w:before="120" w:after="120" w:line="260" w:lineRule="auto"/>
        <w:rPr>
          <w:bCs/>
          <w:iCs/>
          <w:sz w:val="20"/>
        </w:rPr>
      </w:pPr>
      <w:r>
        <w:rPr>
          <w:bCs/>
          <w:iCs/>
          <w:sz w:val="20"/>
        </w:rPr>
        <w:t xml:space="preserve">The </w:t>
      </w:r>
      <w:r>
        <w:rPr>
          <w:rFonts w:hint="eastAsia"/>
          <w:bCs/>
          <w:iCs/>
          <w:sz w:val="20"/>
        </w:rPr>
        <w:t>c</w:t>
      </w:r>
      <w:r>
        <w:rPr>
          <w:bCs/>
          <w:iCs/>
          <w:sz w:val="20"/>
        </w:rPr>
        <w:t>ell-free/</w:t>
      </w:r>
      <w:r w:rsidR="00D4565B">
        <w:rPr>
          <w:bCs/>
          <w:iCs/>
          <w:sz w:val="20"/>
        </w:rPr>
        <w:t>m</w:t>
      </w:r>
      <w:r>
        <w:rPr>
          <w:bCs/>
          <w:iCs/>
          <w:sz w:val="20"/>
        </w:rPr>
        <w:t>TRP operation is widely recognized as a</w:t>
      </w:r>
      <w:r w:rsidR="006C5C94">
        <w:rPr>
          <w:bCs/>
          <w:iCs/>
          <w:sz w:val="20"/>
        </w:rPr>
        <w:t>n emerging</w:t>
      </w:r>
      <w:r>
        <w:rPr>
          <w:bCs/>
          <w:iCs/>
          <w:sz w:val="20"/>
        </w:rPr>
        <w:t xml:space="preserve"> technology, aiming to overcome the limitations of cell-centric architectures by allowing numerous geographically distributed access points to jointly and coherently serve users without predefined cell boundaries. This cooperative paradigm effectively mitigates inter-cell interference, enhances mobility support, and provides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multi-TRP </w:t>
      </w:r>
      <w:r>
        <w:rPr>
          <w:bCs/>
          <w:iCs/>
          <w:sz w:val="20"/>
        </w:rPr>
        <w:t xml:space="preserve">operation is only supported in </w:t>
      </w:r>
      <w:r>
        <w:rPr>
          <w:rFonts w:hint="eastAsia"/>
          <w:bCs/>
          <w:iCs/>
          <w:sz w:val="20"/>
        </w:rPr>
        <w:t>RRC CONNECTED</w:t>
      </w:r>
      <w:r>
        <w:rPr>
          <w:bCs/>
          <w:iCs/>
          <w:sz w:val="20"/>
        </w:rPr>
        <w:t xml:space="preserve"> mode and independently designed from mobility, the following pain-point(s) for real field deployment due to lack of cell-free/</w:t>
      </w:r>
      <w:r w:rsidR="00896E24">
        <w:rPr>
          <w:bCs/>
          <w:iCs/>
          <w:sz w:val="20"/>
        </w:rPr>
        <w:t>m</w:t>
      </w:r>
      <w:r>
        <w:rPr>
          <w:bCs/>
          <w:iCs/>
          <w:sz w:val="20"/>
        </w:rPr>
        <w:t xml:space="preserve">TRP operation for initial access have been identified: </w:t>
      </w:r>
    </w:p>
    <w:p w:rsidR="001554A1" w:rsidRDefault="006C5C94">
      <w:pPr>
        <w:numPr>
          <w:ilvl w:val="0"/>
          <w:numId w:val="17"/>
        </w:numPr>
        <w:snapToGrid w:val="0"/>
        <w:spacing w:beforeLines="0" w:before="120" w:afterLines="0" w:after="120" w:line="288" w:lineRule="auto"/>
        <w:rPr>
          <w:sz w:val="20"/>
          <w:lang w:bidi="ar"/>
        </w:rPr>
      </w:pPr>
      <w:r>
        <w:rPr>
          <w:b/>
          <w:bCs/>
          <w:kern w:val="0"/>
          <w:sz w:val="20"/>
          <w:lang w:bidi="ar"/>
        </w:rPr>
        <w:t xml:space="preserve">Significant </w:t>
      </w:r>
      <w:r w:rsidR="00FE1B65">
        <w:rPr>
          <w:b/>
          <w:bCs/>
          <w:kern w:val="0"/>
          <w:sz w:val="20"/>
          <w:lang w:bidi="ar"/>
        </w:rPr>
        <w:t>NW and UE</w:t>
      </w:r>
      <w:r w:rsidR="00FE1B65">
        <w:rPr>
          <w:rFonts w:hint="eastAsia"/>
          <w:b/>
          <w:bCs/>
          <w:kern w:val="0"/>
          <w:sz w:val="20"/>
          <w:lang w:bidi="ar"/>
        </w:rPr>
        <w:t xml:space="preserve"> energy consumption</w:t>
      </w:r>
      <w:r w:rsidR="00FE1B65">
        <w:rPr>
          <w:rFonts w:hint="eastAsia"/>
          <w:kern w:val="0"/>
          <w:sz w:val="20"/>
          <w:lang w:bidi="ar"/>
        </w:rPr>
        <w:t xml:space="preserve">: </w:t>
      </w:r>
      <w:r w:rsidR="00FE1B65">
        <w:rPr>
          <w:kern w:val="0"/>
          <w:sz w:val="20"/>
          <w:lang w:bidi="ar"/>
        </w:rPr>
        <w:t xml:space="preserve">To guarantee the accuracy of F/T-sync and blind detection, always-on </w:t>
      </w:r>
      <w:r w:rsidR="00FE1B65">
        <w:rPr>
          <w:rFonts w:hint="eastAsia"/>
          <w:kern w:val="0"/>
          <w:sz w:val="20"/>
          <w:lang w:bidi="ar"/>
        </w:rPr>
        <w:t xml:space="preserve">short-period SSB </w:t>
      </w:r>
      <w:r w:rsidR="00FE1B65">
        <w:rPr>
          <w:kern w:val="0"/>
          <w:sz w:val="20"/>
          <w:lang w:bidi="ar"/>
        </w:rPr>
        <w:t xml:space="preserve">(e.g., 20ms) causing </w:t>
      </w:r>
      <w:r w:rsidR="00341318">
        <w:rPr>
          <w:kern w:val="0"/>
          <w:sz w:val="20"/>
          <w:lang w:bidi="ar"/>
        </w:rPr>
        <w:t>substantial</w:t>
      </w:r>
      <w:r w:rsidR="00913A44">
        <w:rPr>
          <w:kern w:val="0"/>
          <w:sz w:val="20"/>
          <w:lang w:bidi="ar"/>
        </w:rPr>
        <w:t xml:space="preserve"> </w:t>
      </w:r>
      <w:r w:rsidR="00FE1B65">
        <w:rPr>
          <w:kern w:val="0"/>
          <w:sz w:val="20"/>
          <w:lang w:bidi="ar"/>
        </w:rPr>
        <w:t xml:space="preserve">NW energy consumption has </w:t>
      </w:r>
      <w:r w:rsidR="00371A10">
        <w:rPr>
          <w:kern w:val="0"/>
          <w:sz w:val="20"/>
          <w:lang w:bidi="ar"/>
        </w:rPr>
        <w:t>been</w:t>
      </w:r>
      <w:r w:rsidR="00FE1B65">
        <w:rPr>
          <w:kern w:val="0"/>
          <w:sz w:val="20"/>
          <w:lang w:bidi="ar"/>
        </w:rPr>
        <w:t xml:space="preserve"> deployed for collecting a plurality of sync-signal samples for a UE</w:t>
      </w:r>
      <w:r w:rsidR="00FE1B65">
        <w:rPr>
          <w:rFonts w:hint="eastAsia"/>
          <w:kern w:val="0"/>
          <w:sz w:val="20"/>
          <w:lang w:bidi="ar"/>
        </w:rPr>
        <w:t xml:space="preserve"> </w:t>
      </w:r>
      <w:r w:rsidR="00FE1B65">
        <w:rPr>
          <w:kern w:val="0"/>
          <w:sz w:val="20"/>
          <w:lang w:bidi="ar"/>
        </w:rPr>
        <w:t xml:space="preserve">within a given time window (e.g., 200ms). In additional to frequent blind detection, from a </w:t>
      </w:r>
      <w:r w:rsidR="00FE1B65">
        <w:rPr>
          <w:rFonts w:hint="eastAsia"/>
          <w:kern w:val="0"/>
          <w:sz w:val="20"/>
          <w:lang w:bidi="ar"/>
        </w:rPr>
        <w:t>UE</w:t>
      </w:r>
      <w:r w:rsidR="00FE1B65">
        <w:rPr>
          <w:kern w:val="0"/>
          <w:sz w:val="20"/>
          <w:lang w:bidi="ar"/>
        </w:rPr>
        <w:t>’</w:t>
      </w:r>
      <w:r w:rsidR="00FE1B65">
        <w:rPr>
          <w:rFonts w:hint="eastAsia"/>
          <w:kern w:val="0"/>
          <w:sz w:val="20"/>
          <w:lang w:bidi="ar"/>
        </w:rPr>
        <w:t xml:space="preserve">s </w:t>
      </w:r>
      <w:r w:rsidR="00FE1B65">
        <w:rPr>
          <w:kern w:val="0"/>
          <w:sz w:val="20"/>
          <w:lang w:bidi="ar"/>
        </w:rPr>
        <w:t>perspective, ramping up</w:t>
      </w:r>
      <w:r w:rsidR="00FE1B65">
        <w:rPr>
          <w:rFonts w:hint="eastAsia"/>
          <w:kern w:val="0"/>
          <w:sz w:val="20"/>
          <w:lang w:bidi="ar"/>
        </w:rPr>
        <w:t xml:space="preserve"> RF power</w:t>
      </w:r>
      <w:r w:rsidR="00FE1B65">
        <w:rPr>
          <w:kern w:val="0"/>
          <w:sz w:val="20"/>
          <w:lang w:bidi="ar"/>
        </w:rPr>
        <w:t xml:space="preserve"> </w:t>
      </w:r>
      <w:r w:rsidR="00FE1B65">
        <w:rPr>
          <w:rFonts w:hint="eastAsia"/>
          <w:kern w:val="0"/>
          <w:sz w:val="20"/>
          <w:lang w:bidi="ar"/>
        </w:rPr>
        <w:t xml:space="preserve">for </w:t>
      </w:r>
      <w:r w:rsidR="00FE1B65">
        <w:rPr>
          <w:kern w:val="0"/>
          <w:sz w:val="20"/>
          <w:lang w:bidi="ar"/>
        </w:rPr>
        <w:t>subsequent Msg1/3 becomes inevitable</w:t>
      </w:r>
      <w:r w:rsidR="00FE1B65">
        <w:rPr>
          <w:rFonts w:hint="eastAsia"/>
          <w:kern w:val="0"/>
          <w:sz w:val="20"/>
          <w:lang w:bidi="ar"/>
        </w:rPr>
        <w:t xml:space="preserve"> when the received SINR is </w:t>
      </w:r>
      <w:r w:rsidR="00FE1B65">
        <w:rPr>
          <w:kern w:val="0"/>
          <w:sz w:val="20"/>
          <w:lang w:bidi="ar"/>
        </w:rPr>
        <w:t>relatively low.</w:t>
      </w:r>
    </w:p>
    <w:p w:rsidR="001554A1" w:rsidRDefault="00FE1B65">
      <w:pPr>
        <w:numPr>
          <w:ilvl w:val="0"/>
          <w:numId w:val="17"/>
        </w:numPr>
        <w:snapToGrid w:val="0"/>
        <w:spacing w:beforeLines="0" w:before="120" w:afterLines="0" w:after="120" w:line="288" w:lineRule="auto"/>
        <w:rPr>
          <w:sz w:val="20"/>
          <w:lang w:bidi="ar"/>
        </w:rPr>
      </w:pPr>
      <w:r>
        <w:rPr>
          <w:b/>
          <w:bCs/>
          <w:kern w:val="0"/>
          <w:sz w:val="20"/>
          <w:lang w:bidi="ar"/>
        </w:rPr>
        <w:lastRenderedPageBreak/>
        <w:t>Inconsistent/poor</w:t>
      </w:r>
      <w:r>
        <w:rPr>
          <w:rFonts w:hint="eastAsia"/>
          <w:b/>
          <w:bCs/>
          <w:kern w:val="0"/>
          <w:sz w:val="20"/>
          <w:lang w:bidi="ar"/>
        </w:rPr>
        <w:t xml:space="preserve"> </w:t>
      </w:r>
      <w:r>
        <w:rPr>
          <w:b/>
          <w:bCs/>
          <w:kern w:val="0"/>
          <w:sz w:val="20"/>
          <w:lang w:bidi="ar"/>
        </w:rPr>
        <w:t>UE experience for early-stage data transmission</w:t>
      </w:r>
      <w:r>
        <w:rPr>
          <w:rFonts w:hint="eastAsia"/>
          <w:kern w:val="0"/>
          <w:sz w:val="20"/>
          <w:lang w:bidi="ar"/>
        </w:rPr>
        <w:t xml:space="preserve">: </w:t>
      </w:r>
      <w:r>
        <w:rPr>
          <w:kern w:val="0"/>
          <w:sz w:val="20"/>
          <w:lang w:bidi="ar"/>
        </w:rPr>
        <w:t xml:space="preserve">Due to lack of mechanism assisting DL/UL link adaptation and early multi-TRP operation for data transmission during </w:t>
      </w:r>
      <w:r w:rsidR="004018F8">
        <w:rPr>
          <w:kern w:val="0"/>
          <w:sz w:val="20"/>
          <w:lang w:bidi="ar"/>
        </w:rPr>
        <w:t>initial/random access under idle/inactive states</w:t>
      </w:r>
      <w:r>
        <w:rPr>
          <w:kern w:val="0"/>
          <w:sz w:val="20"/>
          <w:lang w:bidi="ar"/>
        </w:rPr>
        <w:t>, in 5G NR, the advanced technique(s), like massive MIMO, coherent joint transmission/reception</w:t>
      </w:r>
      <w:r>
        <w:rPr>
          <w:rFonts w:hint="eastAsia"/>
          <w:kern w:val="0"/>
          <w:sz w:val="20"/>
          <w:lang w:bidi="ar"/>
        </w:rPr>
        <w:t xml:space="preserve"> (CJT/CJR)</w:t>
      </w:r>
      <w:r>
        <w:rPr>
          <w:kern w:val="0"/>
          <w:sz w:val="20"/>
          <w:lang w:bidi="ar"/>
        </w:rPr>
        <w:t xml:space="preserve"> across TRPs and asymmetric DL-mTRP and UL-sTRP, etc., can NOT be enabled for early-stage data transmission after access. As a consequence, the UE experience for small</w:t>
      </w:r>
      <w:r>
        <w:rPr>
          <w:rFonts w:hint="eastAsia"/>
          <w:kern w:val="0"/>
          <w:sz w:val="20"/>
          <w:lang w:bidi="ar"/>
        </w:rPr>
        <w:t xml:space="preserve"> and </w:t>
      </w:r>
      <w:r w:rsidR="00252ADC">
        <w:rPr>
          <w:kern w:val="0"/>
          <w:sz w:val="20"/>
          <w:lang w:bidi="ar"/>
        </w:rPr>
        <w:t>medium-sized</w:t>
      </w:r>
      <w:r w:rsidR="00252ADC" w:rsidDel="00252ADC">
        <w:rPr>
          <w:kern w:val="0"/>
          <w:sz w:val="20"/>
          <w:lang w:bidi="ar"/>
        </w:rPr>
        <w:t xml:space="preserve"> </w:t>
      </w:r>
      <w:r>
        <w:rPr>
          <w:kern w:val="0"/>
          <w:sz w:val="20"/>
          <w:lang w:bidi="ar"/>
        </w:rPr>
        <w:t>data packet</w:t>
      </w:r>
      <w:r>
        <w:rPr>
          <w:rFonts w:hint="eastAsia"/>
          <w:kern w:val="0"/>
          <w:sz w:val="20"/>
          <w:lang w:bidi="ar"/>
        </w:rPr>
        <w:t>s</w:t>
      </w:r>
      <w:r>
        <w:rPr>
          <w:kern w:val="0"/>
          <w:sz w:val="20"/>
          <w:lang w:bidi="ar"/>
        </w:rPr>
        <w:t xml:space="preserve"> is poor </w:t>
      </w:r>
      <w:r>
        <w:rPr>
          <w:rFonts w:hint="eastAsia"/>
          <w:kern w:val="0"/>
          <w:sz w:val="20"/>
          <w:lang w:bidi="ar"/>
        </w:rPr>
        <w:t>despite</w:t>
      </w:r>
      <w:r>
        <w:rPr>
          <w:kern w:val="0"/>
          <w:sz w:val="20"/>
          <w:lang w:bidi="ar"/>
        </w:rPr>
        <w:t xml:space="preserve"> high operation</w:t>
      </w:r>
      <w:r>
        <w:rPr>
          <w:rFonts w:hint="eastAsia"/>
          <w:kern w:val="0"/>
          <w:sz w:val="20"/>
          <w:lang w:bidi="ar"/>
        </w:rPr>
        <w:t>al</w:t>
      </w:r>
      <w:r>
        <w:rPr>
          <w:kern w:val="0"/>
          <w:sz w:val="20"/>
          <w:lang w:bidi="ar"/>
        </w:rPr>
        <w:t xml:space="preserve"> cost</w:t>
      </w:r>
      <w:r>
        <w:rPr>
          <w:rFonts w:hint="eastAsia"/>
          <w:kern w:val="0"/>
          <w:sz w:val="20"/>
          <w:lang w:bidi="ar"/>
        </w:rPr>
        <w:t>s</w:t>
      </w:r>
      <w:r>
        <w:rPr>
          <w:kern w:val="0"/>
          <w:sz w:val="20"/>
          <w:lang w:bidi="ar"/>
        </w:rPr>
        <w:t xml:space="preserve"> from a NW perspective, but</w:t>
      </w:r>
      <w:r>
        <w:rPr>
          <w:rFonts w:hint="eastAsia"/>
          <w:kern w:val="0"/>
          <w:sz w:val="20"/>
          <w:lang w:bidi="ar"/>
        </w:rPr>
        <w:t xml:space="preserve"> </w:t>
      </w:r>
      <w:r>
        <w:rPr>
          <w:kern w:val="0"/>
          <w:sz w:val="20"/>
          <w:lang w:bidi="ar"/>
        </w:rPr>
        <w:t xml:space="preserve">per assessment </w:t>
      </w:r>
      <w:r w:rsidR="00993935">
        <w:rPr>
          <w:kern w:val="0"/>
          <w:sz w:val="20"/>
          <w:highlight w:val="yellow"/>
          <w:lang w:bidi="ar"/>
        </w:rPr>
        <w:fldChar w:fldCharType="begin"/>
      </w:r>
      <w:r w:rsidR="00993935">
        <w:rPr>
          <w:kern w:val="0"/>
          <w:sz w:val="20"/>
          <w:lang w:bidi="ar"/>
        </w:rPr>
        <w:instrText xml:space="preserve"> REF _Ref220599051 \r \h </w:instrText>
      </w:r>
      <w:r w:rsidR="00993935">
        <w:rPr>
          <w:kern w:val="0"/>
          <w:sz w:val="20"/>
          <w:highlight w:val="yellow"/>
          <w:lang w:bidi="ar"/>
        </w:rPr>
      </w:r>
      <w:r w:rsidR="00993935">
        <w:rPr>
          <w:kern w:val="0"/>
          <w:sz w:val="20"/>
          <w:highlight w:val="yellow"/>
          <w:lang w:bidi="ar"/>
        </w:rPr>
        <w:fldChar w:fldCharType="separate"/>
      </w:r>
      <w:r w:rsidR="00993935">
        <w:rPr>
          <w:kern w:val="0"/>
          <w:sz w:val="20"/>
          <w:lang w:bidi="ar"/>
        </w:rPr>
        <w:t>[11]</w:t>
      </w:r>
      <w:r w:rsidR="00993935">
        <w:rPr>
          <w:kern w:val="0"/>
          <w:sz w:val="20"/>
          <w:highlight w:val="yellow"/>
          <w:lang w:bidi="ar"/>
        </w:rPr>
        <w:fldChar w:fldCharType="end"/>
      </w:r>
      <w:r>
        <w:rPr>
          <w:kern w:val="0"/>
          <w:sz w:val="20"/>
          <w:lang w:bidi="ar"/>
        </w:rPr>
        <w:t>, this type of packets dominates &gt; 90% traffics in a real field network</w:t>
      </w:r>
      <w:r>
        <w:rPr>
          <w:rFonts w:hint="eastAsia"/>
          <w:kern w:val="0"/>
          <w:sz w:val="20"/>
          <w:lang w:bidi="ar"/>
        </w:rPr>
        <w:t>.</w:t>
      </w:r>
      <w:r w:rsidR="00252ADC" w:rsidRPr="00252ADC">
        <w:rPr>
          <w:kern w:val="0"/>
          <w:sz w:val="20"/>
          <w:lang w:bidi="ar"/>
        </w:rPr>
        <w:t xml:space="preserve"> </w:t>
      </w:r>
      <w:r w:rsidR="00252ADC" w:rsidRPr="004541ED">
        <w:rPr>
          <w:kern w:val="0"/>
          <w:sz w:val="20"/>
          <w:lang w:bidi="ar"/>
        </w:rPr>
        <w:t>Fast link adapation with multi-TPR operation is important to enable more efficient operation for bursty traffic</w:t>
      </w:r>
      <w:r w:rsidR="00252ADC">
        <w:rPr>
          <w:kern w:val="0"/>
          <w:sz w:val="20"/>
          <w:lang w:bidi="ar"/>
        </w:rPr>
        <w:t>.</w:t>
      </w:r>
    </w:p>
    <w:p w:rsidR="001554A1" w:rsidRDefault="00FE1B65">
      <w:pPr>
        <w:numPr>
          <w:ilvl w:val="0"/>
          <w:numId w:val="17"/>
        </w:numPr>
        <w:snapToGrid w:val="0"/>
        <w:spacing w:beforeLines="0" w:before="120" w:afterLines="0" w:after="120" w:line="288" w:lineRule="auto"/>
        <w:rPr>
          <w:sz w:val="20"/>
          <w:lang w:bidi="ar"/>
        </w:rPr>
      </w:pPr>
      <w:r>
        <w:rPr>
          <w:b/>
          <w:bCs/>
          <w:kern w:val="0"/>
          <w:sz w:val="20"/>
          <w:lang w:bidi="ar"/>
        </w:rPr>
        <w:t xml:space="preserve">UE-perceived handover interruption </w:t>
      </w:r>
      <w:r>
        <w:rPr>
          <w:rFonts w:hint="eastAsia"/>
          <w:b/>
          <w:bCs/>
          <w:kern w:val="0"/>
          <w:sz w:val="20"/>
          <w:lang w:bidi="ar"/>
        </w:rPr>
        <w:t>in high</w:t>
      </w:r>
      <w:r>
        <w:rPr>
          <w:b/>
          <w:bCs/>
          <w:kern w:val="0"/>
          <w:sz w:val="20"/>
          <w:lang w:bidi="ar"/>
        </w:rPr>
        <w:t>-speed</w:t>
      </w:r>
      <w:r>
        <w:rPr>
          <w:rFonts w:hint="eastAsia"/>
          <w:b/>
          <w:bCs/>
          <w:kern w:val="0"/>
          <w:sz w:val="20"/>
          <w:lang w:bidi="ar"/>
        </w:rPr>
        <w:t xml:space="preserve"> mobility</w:t>
      </w:r>
      <w:r>
        <w:rPr>
          <w:rFonts w:hint="eastAsia"/>
          <w:kern w:val="0"/>
          <w:sz w:val="20"/>
          <w:lang w:bidi="ar"/>
        </w:rPr>
        <w:t>: In high-speed mobility scenarios (e.g., high-speed train</w:t>
      </w:r>
      <w:r>
        <w:rPr>
          <w:kern w:val="0"/>
          <w:sz w:val="20"/>
          <w:lang w:bidi="ar"/>
        </w:rPr>
        <w:t>, or high-way</w:t>
      </w:r>
      <w:r>
        <w:rPr>
          <w:rFonts w:hint="eastAsia"/>
          <w:kern w:val="0"/>
          <w:sz w:val="20"/>
          <w:lang w:bidi="ar"/>
        </w:rPr>
        <w:t xml:space="preserve">), UEs frequently cross cell boundaries to trigger cell handover along with non-negligible handover latency. If channel fluctuations are relatively large, it not only </w:t>
      </w:r>
      <w:r>
        <w:rPr>
          <w:kern w:val="0"/>
          <w:sz w:val="20"/>
          <w:lang w:bidi="ar"/>
        </w:rPr>
        <w:t xml:space="preserve">might </w:t>
      </w:r>
      <w:r>
        <w:rPr>
          <w:rFonts w:hint="eastAsia"/>
          <w:kern w:val="0"/>
          <w:sz w:val="20"/>
          <w:lang w:bidi="ar"/>
        </w:rPr>
        <w:t>cause handover failure but also trigger frequent cell re-selection or re-initiation of initial access procedure</w:t>
      </w:r>
      <w:r>
        <w:rPr>
          <w:kern w:val="0"/>
          <w:sz w:val="20"/>
          <w:lang w:bidi="ar"/>
        </w:rPr>
        <w:t xml:space="preserve">. As a consequence, the objective of </w:t>
      </w:r>
      <w:r>
        <w:rPr>
          <w:rFonts w:hint="eastAsia"/>
          <w:kern w:val="0"/>
          <w:sz w:val="20"/>
          <w:lang w:bidi="ar"/>
        </w:rPr>
        <w:t>seamless communication</w:t>
      </w:r>
      <w:r>
        <w:rPr>
          <w:kern w:val="0"/>
          <w:sz w:val="20"/>
          <w:lang w:bidi="ar"/>
        </w:rPr>
        <w:t>s for</w:t>
      </w:r>
      <w:r>
        <w:rPr>
          <w:rFonts w:hint="eastAsia"/>
          <w:kern w:val="0"/>
          <w:sz w:val="20"/>
          <w:lang w:bidi="ar"/>
        </w:rPr>
        <w:t xml:space="preserve"> high-speed mobility </w:t>
      </w:r>
      <w:r w:rsidR="009E3E38">
        <w:rPr>
          <w:kern w:val="0"/>
          <w:sz w:val="20"/>
          <w:lang w:bidi="ar"/>
        </w:rPr>
        <w:t>has not been successfully</w:t>
      </w:r>
      <w:r w:rsidR="009E3E38" w:rsidDel="004541ED">
        <w:rPr>
          <w:kern w:val="0"/>
          <w:sz w:val="20"/>
          <w:lang w:bidi="ar"/>
        </w:rPr>
        <w:t xml:space="preserve"> </w:t>
      </w:r>
      <w:r>
        <w:rPr>
          <w:kern w:val="0"/>
          <w:sz w:val="20"/>
          <w:lang w:bidi="ar"/>
        </w:rPr>
        <w:t>achieved for 5G</w:t>
      </w:r>
      <w:r>
        <w:rPr>
          <w:rFonts w:hint="eastAsia"/>
          <w:kern w:val="0"/>
          <w:sz w:val="20"/>
          <w:lang w:bidi="ar"/>
        </w:rPr>
        <w:t xml:space="preserve"> </w:t>
      </w:r>
      <w:r>
        <w:rPr>
          <w:kern w:val="0"/>
          <w:sz w:val="20"/>
          <w:lang w:bidi="ar"/>
        </w:rPr>
        <w:t>NR, to be honest.</w:t>
      </w:r>
    </w:p>
    <w:p w:rsidR="001554A1" w:rsidRDefault="00FE1B65">
      <w:pPr>
        <w:snapToGrid w:val="0"/>
        <w:spacing w:before="120" w:after="120"/>
        <w:rPr>
          <w:i/>
          <w:sz w:val="20"/>
        </w:rPr>
      </w:pPr>
      <w:r w:rsidRPr="00BA0E2D">
        <w:rPr>
          <w:b/>
          <w:bCs/>
          <w:i/>
          <w:sz w:val="20"/>
        </w:rPr>
        <w:t>Observation 1</w:t>
      </w:r>
      <w:r w:rsidR="009B63DC">
        <w:rPr>
          <w:b/>
          <w:bCs/>
          <w:i/>
          <w:sz w:val="20"/>
        </w:rPr>
        <w:t>3</w:t>
      </w:r>
      <w:r w:rsidRPr="00193851">
        <w:rPr>
          <w:b/>
          <w:bCs/>
          <w:i/>
          <w:sz w:val="20"/>
        </w:rPr>
        <w:t>:</w:t>
      </w:r>
      <w:r w:rsidRPr="00193851">
        <w:rPr>
          <w:i/>
          <w:sz w:val="20"/>
        </w:rPr>
        <w:t xml:space="preserve"> The following pain-point(s) for 5G NR are identified due to the absence of cell-free/mTRP operation starting from initial access:</w:t>
      </w:r>
    </w:p>
    <w:p w:rsidR="001554A1" w:rsidRDefault="009E3E38">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 xml:space="preserve">Significant </w:t>
      </w:r>
      <w:r w:rsidR="00FE1B65">
        <w:rPr>
          <w:i/>
          <w:sz w:val="20"/>
          <w:szCs w:val="18"/>
          <w:lang w:bidi="ar"/>
        </w:rPr>
        <w:t>NW and UE energy consumption.</w:t>
      </w:r>
    </w:p>
    <w:p w:rsidR="001554A1" w:rsidRDefault="00FE1B65">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Inconsistent/poor UE experience for early-stage data transmission.</w:t>
      </w:r>
    </w:p>
    <w:p w:rsidR="001554A1" w:rsidRDefault="00FE1B65">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UE-perceived handover interruption in high-speed mobility.</w:t>
      </w:r>
    </w:p>
    <w:p w:rsidR="001554A1" w:rsidRDefault="00FE1B65">
      <w:pPr>
        <w:snapToGrid w:val="0"/>
        <w:spacing w:before="120" w:after="120"/>
        <w:rPr>
          <w:sz w:val="20"/>
          <w:lang w:bidi="ar"/>
        </w:rPr>
      </w:pPr>
      <w:r>
        <w:rPr>
          <w:kern w:val="0"/>
          <w:sz w:val="20"/>
          <w:lang w:bidi="ar"/>
        </w:rPr>
        <w:t xml:space="preserve">While considering </w:t>
      </w:r>
      <w:r>
        <w:rPr>
          <w:rFonts w:hint="eastAsia"/>
          <w:kern w:val="0"/>
          <w:sz w:val="20"/>
          <w:lang w:bidi="ar"/>
        </w:rPr>
        <w:t>that the design of sync signal structure in 6GR needs to consider the potential application scenarios, we propose enabling the cell-free/</w:t>
      </w:r>
      <w:r w:rsidR="00970B71">
        <w:rPr>
          <w:kern w:val="0"/>
          <w:sz w:val="20"/>
          <w:lang w:bidi="ar"/>
        </w:rPr>
        <w:t>m</w:t>
      </w:r>
      <w:r>
        <w:rPr>
          <w:rFonts w:hint="eastAsia"/>
          <w:kern w:val="0"/>
          <w:sz w:val="20"/>
          <w:lang w:bidi="ar"/>
        </w:rPr>
        <w:t>TRP operation starting from initial access procedure, including sync signal</w:t>
      </w:r>
      <w:r>
        <w:rPr>
          <w:kern w:val="0"/>
          <w:sz w:val="20"/>
          <w:lang w:bidi="ar"/>
        </w:rPr>
        <w:t xml:space="preserve"> </w:t>
      </w:r>
      <w:r>
        <w:rPr>
          <w:rFonts w:hint="eastAsia"/>
          <w:kern w:val="0"/>
          <w:sz w:val="20"/>
          <w:lang w:bidi="ar"/>
        </w:rPr>
        <w:t>based cell-cluster/TRP search, system information acquisition and random access. Such an operation aims to address the above mentioned pain points inherent in 5G NR initial access anchored to a single-cell to accommodate 6G</w:t>
      </w:r>
      <w:r>
        <w:rPr>
          <w:kern w:val="0"/>
          <w:sz w:val="20"/>
          <w:lang w:bidi="ar"/>
        </w:rPr>
        <w:t>’</w:t>
      </w:r>
      <w:r>
        <w:rPr>
          <w:rFonts w:hint="eastAsia"/>
          <w:kern w:val="0"/>
          <w:sz w:val="20"/>
          <w:lang w:bidi="ar"/>
        </w:rPr>
        <w:t>s design objectives (e.g., global coverage, low energy consumption and seamless communication in high-speed mobility scenario)</w:t>
      </w:r>
      <w:r>
        <w:rPr>
          <w:kern w:val="0"/>
          <w:sz w:val="20"/>
          <w:lang w:bidi="ar"/>
        </w:rPr>
        <w:t>.</w:t>
      </w:r>
    </w:p>
    <w:p w:rsidR="001554A1" w:rsidRDefault="00FE1B65">
      <w:pPr>
        <w:snapToGrid w:val="0"/>
        <w:spacing w:before="120" w:after="120" w:line="288" w:lineRule="auto"/>
        <w:rPr>
          <w:kern w:val="0"/>
          <w:sz w:val="20"/>
          <w:lang w:bidi="ar"/>
        </w:rPr>
      </w:pPr>
      <w:r>
        <w:rPr>
          <w:rFonts w:hint="eastAsia"/>
          <w:kern w:val="0"/>
          <w:sz w:val="20"/>
          <w:lang w:bidi="ar"/>
        </w:rPr>
        <w:t>Specifically, seamless communication in 6GR will be achieved through cell-free</w:t>
      </w:r>
      <w:r w:rsidR="003B22E6">
        <w:rPr>
          <w:kern w:val="0"/>
          <w:sz w:val="20"/>
          <w:lang w:bidi="ar"/>
        </w:rPr>
        <w:t>/m</w:t>
      </w:r>
      <w:r w:rsidR="003B22E6">
        <w:rPr>
          <w:rFonts w:hint="eastAsia"/>
          <w:kern w:val="0"/>
          <w:sz w:val="20"/>
          <w:lang w:bidi="ar"/>
        </w:rPr>
        <w:t>TRP</w:t>
      </w:r>
      <w:r>
        <w:rPr>
          <w:rFonts w:hint="eastAsia"/>
          <w:kern w:val="0"/>
          <w:sz w:val="20"/>
          <w:lang w:bidi="ar"/>
        </w:rPr>
        <w:t xml:space="preserve"> operation and low latency L1-mobility. Next, we will share our preliminary considerations for cell-free deployment scenario and sync signal and system information acquisition in the scenario. </w:t>
      </w:r>
    </w:p>
    <w:p w:rsidR="001554A1" w:rsidRDefault="00FE1B65">
      <w:pPr>
        <w:snapToGrid w:val="0"/>
        <w:spacing w:before="120" w:after="120" w:line="288" w:lineRule="auto"/>
        <w:rPr>
          <w:b/>
          <w:bCs/>
          <w:sz w:val="20"/>
          <w:lang w:bidi="ar"/>
        </w:rPr>
      </w:pPr>
      <w:r>
        <w:rPr>
          <w:rFonts w:hint="eastAsia"/>
          <w:b/>
          <w:bCs/>
          <w:kern w:val="0"/>
          <w:sz w:val="20"/>
          <w:lang w:bidi="ar"/>
        </w:rPr>
        <w:t>Cell-free deployment scenario</w:t>
      </w:r>
    </w:p>
    <w:p w:rsidR="001554A1" w:rsidRPr="00193851" w:rsidRDefault="00FE1B65">
      <w:pPr>
        <w:snapToGrid w:val="0"/>
        <w:spacing w:before="120" w:after="120" w:line="288" w:lineRule="auto"/>
        <w:rPr>
          <w:sz w:val="20"/>
          <w:lang w:bidi="ar"/>
        </w:rPr>
      </w:pPr>
      <w:r>
        <w:rPr>
          <w:rFonts w:hint="eastAsia"/>
          <w:kern w:val="0"/>
          <w:sz w:val="20"/>
          <w:lang w:bidi="ar"/>
        </w:rPr>
        <w:t>Different from s</w:t>
      </w:r>
      <w:r w:rsidRPr="00193851">
        <w:rPr>
          <w:rFonts w:hint="eastAsia"/>
          <w:kern w:val="0"/>
          <w:sz w:val="20"/>
          <w:lang w:bidi="ar"/>
        </w:rPr>
        <w:t>ingle cell in 5G NR, the concept of cell-cluster</w:t>
      </w:r>
      <w:r w:rsidRPr="00193851">
        <w:rPr>
          <w:kern w:val="0"/>
          <w:sz w:val="20"/>
          <w:lang w:bidi="ar"/>
        </w:rPr>
        <w:t xml:space="preserve"> comprising a list of coordinated TRPs</w:t>
      </w:r>
      <w:r w:rsidRPr="00193851">
        <w:rPr>
          <w:rFonts w:hint="eastAsia"/>
          <w:kern w:val="0"/>
          <w:sz w:val="20"/>
          <w:lang w:bidi="ar"/>
        </w:rPr>
        <w:t xml:space="preserve"> is introduced </w:t>
      </w:r>
      <w:r w:rsidRPr="00193851">
        <w:rPr>
          <w:kern w:val="0"/>
          <w:sz w:val="20"/>
          <w:lang w:bidi="ar"/>
        </w:rPr>
        <w:t>for</w:t>
      </w:r>
      <w:r w:rsidRPr="00193851">
        <w:rPr>
          <w:rFonts w:hint="eastAsia"/>
          <w:kern w:val="0"/>
          <w:sz w:val="20"/>
          <w:lang w:bidi="ar"/>
        </w:rPr>
        <w:t xml:space="preserve"> 6GR as shown in </w:t>
      </w:r>
      <w:r w:rsidRPr="00BA0E2D">
        <w:rPr>
          <w:rFonts w:hint="eastAsia"/>
          <w:kern w:val="0"/>
          <w:sz w:val="20"/>
          <w:lang w:bidi="ar"/>
        </w:rPr>
        <w:t>Fig</w:t>
      </w:r>
      <w:r w:rsidRPr="00BA0E2D">
        <w:rPr>
          <w:kern w:val="0"/>
          <w:sz w:val="20"/>
          <w:lang w:bidi="ar"/>
        </w:rPr>
        <w:t xml:space="preserve">ure </w:t>
      </w:r>
      <w:r w:rsidR="00993935" w:rsidRPr="00BA0E2D">
        <w:rPr>
          <w:kern w:val="0"/>
          <w:sz w:val="20"/>
          <w:lang w:bidi="ar"/>
        </w:rPr>
        <w:t>3.2-7</w:t>
      </w:r>
      <w:r w:rsidRPr="00BA0E2D">
        <w:rPr>
          <w:kern w:val="0"/>
          <w:sz w:val="20"/>
          <w:lang w:bidi="ar"/>
        </w:rPr>
        <w:t>.</w:t>
      </w:r>
      <w:r w:rsidRPr="00193851">
        <w:rPr>
          <w:rFonts w:hint="eastAsia"/>
          <w:kern w:val="0"/>
          <w:sz w:val="20"/>
          <w:lang w:bidi="ar"/>
        </w:rPr>
        <w:t xml:space="preserve"> </w:t>
      </w:r>
      <w:r w:rsidRPr="00193851">
        <w:rPr>
          <w:kern w:val="0"/>
          <w:sz w:val="20"/>
          <w:lang w:bidi="ar"/>
        </w:rPr>
        <w:t xml:space="preserve">For instance, the number of TRPs in a cell-cluster can be </w:t>
      </w:r>
      <w:r w:rsidRPr="00193851">
        <w:rPr>
          <w:rFonts w:hint="eastAsia"/>
          <w:kern w:val="0"/>
          <w:sz w:val="20"/>
          <w:lang w:bidi="ar"/>
        </w:rPr>
        <w:t>up to [12~20]. In order to avoid unnecessary inter-TRP switching latency, TRPs within a cell-cluster should be from intra-DU only, or both intra-DU and inter-DU.</w:t>
      </w:r>
    </w:p>
    <w:p w:rsidR="001554A1" w:rsidRPr="00193851" w:rsidRDefault="00FE1B65">
      <w:pPr>
        <w:snapToGrid w:val="0"/>
        <w:spacing w:before="120" w:after="120" w:line="288" w:lineRule="auto"/>
        <w:jc w:val="center"/>
      </w:pPr>
      <w:r w:rsidRPr="00193851">
        <w:object w:dxaOrig="5760" w:dyaOrig="2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9.85pt" o:ole="">
            <v:imagedata r:id="rId19" o:title=""/>
          </v:shape>
          <o:OLEObject Type="Embed" ProgID="Visio.Drawing.15" ShapeID="_x0000_i1025" DrawAspect="Content" ObjectID="_1831299825" r:id="rId20"/>
        </w:object>
      </w:r>
    </w:p>
    <w:p w:rsidR="001554A1" w:rsidRDefault="00FE1B65">
      <w:pPr>
        <w:pStyle w:val="af9"/>
        <w:adjustRightInd w:val="0"/>
        <w:snapToGrid w:val="0"/>
        <w:spacing w:before="120" w:after="120" w:line="240" w:lineRule="auto"/>
        <w:ind w:left="0"/>
        <w:contextualSpacing w:val="0"/>
        <w:jc w:val="center"/>
        <w:rPr>
          <w:rFonts w:eastAsia="宋体"/>
          <w:sz w:val="20"/>
          <w:szCs w:val="20"/>
        </w:rPr>
      </w:pPr>
      <w:r w:rsidRPr="00BA0E2D">
        <w:rPr>
          <w:rFonts w:eastAsia="宋体"/>
          <w:sz w:val="20"/>
          <w:szCs w:val="20"/>
        </w:rPr>
        <w:t xml:space="preserve">Figure </w:t>
      </w:r>
      <w:r w:rsidR="00993935" w:rsidRPr="00BA0E2D">
        <w:rPr>
          <w:rFonts w:eastAsia="宋体"/>
          <w:sz w:val="20"/>
          <w:szCs w:val="20"/>
        </w:rPr>
        <w:t>3.2-7</w:t>
      </w:r>
      <w:r w:rsidRPr="00193851">
        <w:rPr>
          <w:rFonts w:eastAsia="宋体"/>
          <w:sz w:val="20"/>
          <w:szCs w:val="20"/>
        </w:rPr>
        <w:t>: Cell-free/</w:t>
      </w:r>
      <w:r w:rsidRPr="00193851">
        <w:rPr>
          <w:rFonts w:eastAsia="宋体" w:hint="eastAsia"/>
          <w:sz w:val="20"/>
          <w:szCs w:val="20"/>
        </w:rPr>
        <w:t>m</w:t>
      </w:r>
      <w:r w:rsidRPr="00193851">
        <w:rPr>
          <w:rFonts w:eastAsia="宋体"/>
          <w:sz w:val="20"/>
          <w:szCs w:val="20"/>
        </w:rPr>
        <w:t>ulti-TRP operation in 6G</w:t>
      </w:r>
      <w:r w:rsidRPr="00193851">
        <w:rPr>
          <w:rFonts w:eastAsia="宋体" w:hint="eastAsia"/>
          <w:sz w:val="20"/>
          <w:szCs w:val="20"/>
        </w:rPr>
        <w:t>R</w:t>
      </w:r>
      <w:r>
        <w:rPr>
          <w:rFonts w:eastAsia="宋体"/>
          <w:sz w:val="20"/>
          <w:szCs w:val="20"/>
        </w:rPr>
        <w:t xml:space="preserve"> </w:t>
      </w:r>
    </w:p>
    <w:p w:rsidR="001554A1" w:rsidRDefault="00FE1B65">
      <w:pPr>
        <w:snapToGrid w:val="0"/>
        <w:spacing w:before="120" w:after="120"/>
        <w:rPr>
          <w:i/>
          <w:sz w:val="20"/>
        </w:rPr>
      </w:pPr>
      <w:bookmarkStart w:id="6" w:name="_Hlk220162890"/>
      <w:r>
        <w:rPr>
          <w:b/>
          <w:bCs/>
          <w:i/>
          <w:sz w:val="20"/>
        </w:rPr>
        <w:t>Proposal 10:</w:t>
      </w:r>
      <w:r>
        <w:rPr>
          <w:i/>
          <w:sz w:val="20"/>
        </w:rPr>
        <w:t xml:space="preserve"> </w:t>
      </w:r>
      <w:r w:rsidR="0051539D">
        <w:rPr>
          <w:i/>
          <w:sz w:val="20"/>
        </w:rPr>
        <w:t>C</w:t>
      </w:r>
      <w:r>
        <w:rPr>
          <w:i/>
          <w:sz w:val="20"/>
        </w:rPr>
        <w:t>ell-free/</w:t>
      </w:r>
      <w:r w:rsidR="00FB0D9C">
        <w:rPr>
          <w:i/>
          <w:sz w:val="20"/>
        </w:rPr>
        <w:t>m</w:t>
      </w:r>
      <w:r>
        <w:rPr>
          <w:i/>
          <w:sz w:val="20"/>
        </w:rPr>
        <w:t xml:space="preserve">TRP operation should be considered as a typical deployment scenario for synchronization signal/channel design and </w:t>
      </w:r>
      <w:r>
        <w:rPr>
          <w:rFonts w:hint="eastAsia"/>
          <w:i/>
          <w:sz w:val="20"/>
        </w:rPr>
        <w:t>system</w:t>
      </w:r>
      <w:r>
        <w:rPr>
          <w:i/>
          <w:sz w:val="20"/>
        </w:rPr>
        <w:t xml:space="preserve"> information </w:t>
      </w:r>
      <w:r>
        <w:rPr>
          <w:rFonts w:hint="eastAsia"/>
          <w:i/>
          <w:sz w:val="20"/>
        </w:rPr>
        <w:t>acquisition</w:t>
      </w:r>
      <w:r>
        <w:rPr>
          <w:i/>
          <w:sz w:val="20"/>
        </w:rPr>
        <w:t>.</w:t>
      </w:r>
    </w:p>
    <w:bookmarkEnd w:id="6"/>
    <w:p w:rsidR="001554A1" w:rsidRDefault="00FE1B65">
      <w:pPr>
        <w:snapToGrid w:val="0"/>
        <w:spacing w:before="120" w:after="120" w:line="288" w:lineRule="auto"/>
        <w:rPr>
          <w:b/>
          <w:bCs/>
          <w:sz w:val="20"/>
          <w:u w:val="single"/>
          <w:lang w:bidi="ar"/>
        </w:rPr>
      </w:pPr>
      <w:r>
        <w:rPr>
          <w:rFonts w:hint="eastAsia"/>
          <w:b/>
          <w:bCs/>
          <w:kern w:val="0"/>
          <w:sz w:val="20"/>
          <w:u w:val="single"/>
          <w:lang w:bidi="ar"/>
        </w:rPr>
        <w:lastRenderedPageBreak/>
        <w:t>Sync signal detection for cell-free/mTRP operation</w:t>
      </w:r>
    </w:p>
    <w:p w:rsidR="001554A1" w:rsidRDefault="00FE1B65">
      <w:pPr>
        <w:snapToGrid w:val="0"/>
        <w:spacing w:before="120" w:after="120" w:line="288" w:lineRule="auto"/>
        <w:rPr>
          <w:kern w:val="0"/>
          <w:sz w:val="20"/>
          <w:lang w:bidi="ar"/>
        </w:rPr>
      </w:pPr>
      <w:r>
        <w:rPr>
          <w:rFonts w:hint="eastAsia"/>
          <w:kern w:val="0"/>
          <w:sz w:val="20"/>
          <w:lang w:bidi="ar"/>
        </w:rPr>
        <w:t>Regarding SSB transmissions from different TRPs, as show</w:t>
      </w:r>
      <w:r w:rsidRPr="00193851">
        <w:rPr>
          <w:rFonts w:hint="eastAsia"/>
          <w:kern w:val="0"/>
          <w:sz w:val="20"/>
          <w:lang w:bidi="ar"/>
        </w:rPr>
        <w:t xml:space="preserve">n in </w:t>
      </w:r>
      <w:r w:rsidRPr="00BA0E2D">
        <w:rPr>
          <w:kern w:val="0"/>
          <w:sz w:val="20"/>
          <w:lang w:bidi="ar"/>
        </w:rPr>
        <w:t xml:space="preserve">Figure </w:t>
      </w:r>
      <w:r w:rsidR="00993935" w:rsidRPr="00BA0E2D">
        <w:rPr>
          <w:kern w:val="0"/>
          <w:sz w:val="20"/>
          <w:lang w:bidi="ar"/>
        </w:rPr>
        <w:t>3.2-8</w:t>
      </w:r>
      <w:r w:rsidRPr="00BA0E2D">
        <w:rPr>
          <w:kern w:val="0"/>
          <w:sz w:val="20"/>
          <w:lang w:bidi="ar"/>
        </w:rPr>
        <w:t xml:space="preserve">, </w:t>
      </w:r>
      <w:r w:rsidRPr="00193851">
        <w:rPr>
          <w:rFonts w:hint="eastAsia"/>
          <w:kern w:val="0"/>
          <w:sz w:val="20"/>
          <w:lang w:bidi="ar"/>
        </w:rPr>
        <w:t>S</w:t>
      </w:r>
      <w:r>
        <w:rPr>
          <w:rFonts w:hint="eastAsia"/>
          <w:kern w:val="0"/>
          <w:sz w:val="20"/>
          <w:lang w:bidi="ar"/>
        </w:rPr>
        <w:t xml:space="preserve">SBs from different TRPs within a cell-cluster </w:t>
      </w:r>
      <w:r w:rsidR="0022392C">
        <w:rPr>
          <w:kern w:val="0"/>
          <w:sz w:val="20"/>
          <w:lang w:bidi="ar"/>
        </w:rPr>
        <w:t>can be</w:t>
      </w:r>
      <w:r>
        <w:rPr>
          <w:rFonts w:hint="eastAsia"/>
          <w:kern w:val="0"/>
          <w:sz w:val="20"/>
          <w:lang w:bidi="ar"/>
        </w:rPr>
        <w:t xml:space="preserve"> transmitted in </w:t>
      </w:r>
      <w:r>
        <w:rPr>
          <w:sz w:val="20"/>
        </w:rPr>
        <w:t>CDM</w:t>
      </w:r>
      <w:r>
        <w:rPr>
          <w:rFonts w:hint="eastAsia"/>
          <w:sz w:val="20"/>
        </w:rPr>
        <w:t xml:space="preserve"> </w:t>
      </w:r>
      <w:r>
        <w:rPr>
          <w:rFonts w:hint="eastAsia"/>
          <w:kern w:val="0"/>
          <w:sz w:val="20"/>
          <w:lang w:bidi="ar"/>
        </w:rPr>
        <w:t>manner in addition to TDM and FDM</w:t>
      </w:r>
      <w:r>
        <w:rPr>
          <w:kern w:val="0"/>
          <w:sz w:val="20"/>
          <w:lang w:bidi="ar"/>
        </w:rPr>
        <w:t xml:space="preserve"> with </w:t>
      </w:r>
      <w:r w:rsidR="003659E1">
        <w:rPr>
          <w:kern w:val="0"/>
          <w:sz w:val="20"/>
          <w:lang w:bidi="ar"/>
        </w:rPr>
        <w:t xml:space="preserve">the </w:t>
      </w:r>
      <w:r>
        <w:rPr>
          <w:kern w:val="0"/>
          <w:sz w:val="20"/>
          <w:lang w:bidi="ar"/>
        </w:rPr>
        <w:t>following details:</w:t>
      </w:r>
    </w:p>
    <w:p w:rsidR="001554A1" w:rsidRDefault="00FE1B65">
      <w:pPr>
        <w:numPr>
          <w:ilvl w:val="0"/>
          <w:numId w:val="19"/>
        </w:numPr>
        <w:snapToGrid w:val="0"/>
        <w:spacing w:beforeLines="0" w:before="120" w:afterLines="0" w:after="120" w:line="288" w:lineRule="auto"/>
        <w:ind w:left="703" w:hanging="283"/>
        <w:rPr>
          <w:sz w:val="20"/>
          <w:lang w:bidi="ar"/>
        </w:rPr>
      </w:pPr>
      <w:r>
        <w:rPr>
          <w:rFonts w:hint="eastAsia"/>
          <w:kern w:val="0"/>
          <w:sz w:val="20"/>
          <w:lang w:bidi="ar"/>
        </w:rPr>
        <w:t>Cell-cluster ID and TRP ID associated with a c</w:t>
      </w:r>
      <w:r>
        <w:rPr>
          <w:kern w:val="0"/>
          <w:sz w:val="20"/>
          <w:lang w:bidi="ar"/>
        </w:rPr>
        <w:t xml:space="preserve">ell-cluster </w:t>
      </w:r>
      <w:r>
        <w:rPr>
          <w:rFonts w:hint="eastAsia"/>
          <w:kern w:val="0"/>
          <w:sz w:val="20"/>
          <w:lang w:bidi="ar"/>
        </w:rPr>
        <w:t>ID are</w:t>
      </w:r>
      <w:r>
        <w:rPr>
          <w:kern w:val="0"/>
          <w:sz w:val="20"/>
          <w:lang w:bidi="ar"/>
        </w:rPr>
        <w:t xml:space="preserve"> determined by PSS/SSS sequence.</w:t>
      </w:r>
    </w:p>
    <w:p w:rsidR="001554A1" w:rsidRDefault="00FE1B65">
      <w:pPr>
        <w:numPr>
          <w:ilvl w:val="0"/>
          <w:numId w:val="19"/>
        </w:numPr>
        <w:snapToGrid w:val="0"/>
        <w:spacing w:beforeLines="0" w:before="120" w:afterLines="0" w:after="120" w:line="288" w:lineRule="auto"/>
        <w:ind w:left="703" w:hanging="283"/>
        <w:rPr>
          <w:sz w:val="20"/>
          <w:lang w:bidi="ar"/>
        </w:rPr>
      </w:pPr>
      <w:r>
        <w:rPr>
          <w:rFonts w:hint="eastAsia"/>
          <w:kern w:val="0"/>
          <w:sz w:val="20"/>
          <w:lang w:bidi="ar"/>
        </w:rPr>
        <w:t>DMRS of PBCH is determined by cell-cluster ID and TRP ID associated with a c</w:t>
      </w:r>
      <w:r>
        <w:rPr>
          <w:kern w:val="0"/>
          <w:sz w:val="20"/>
          <w:lang w:bidi="ar"/>
        </w:rPr>
        <w:t xml:space="preserve">ell-cluster </w:t>
      </w:r>
      <w:r>
        <w:rPr>
          <w:rFonts w:hint="eastAsia"/>
          <w:kern w:val="0"/>
          <w:sz w:val="20"/>
          <w:lang w:bidi="ar"/>
        </w:rPr>
        <w:t>ID.</w:t>
      </w:r>
    </w:p>
    <w:p w:rsidR="001554A1" w:rsidRDefault="00FE1B65" w:rsidP="001948EC">
      <w:pPr>
        <w:snapToGrid w:val="0"/>
        <w:spacing w:before="120" w:after="120" w:line="288" w:lineRule="auto"/>
        <w:jc w:val="center"/>
        <w:rPr>
          <w:sz w:val="20"/>
          <w:lang w:bidi="ar"/>
        </w:rPr>
      </w:pPr>
      <w:r>
        <w:rPr>
          <w:kern w:val="0"/>
          <w:sz w:val="20"/>
          <w:lang w:bidi="ar"/>
        </w:rPr>
        <w:object w:dxaOrig="5896" w:dyaOrig="2534">
          <v:shape id="_x0000_i1026" type="#_x0000_t75" style="width:295.1pt;height:126.45pt" o:ole="">
            <v:imagedata r:id="rId21" o:title=""/>
          </v:shape>
          <o:OLEObject Type="Embed" ProgID="Visio.Drawing.15" ShapeID="_x0000_i1026" DrawAspect="Content" ObjectID="_1831299826" r:id="rId22"/>
        </w:object>
      </w:r>
    </w:p>
    <w:p w:rsidR="001554A1" w:rsidRPr="006C5C94" w:rsidRDefault="00FE1B65">
      <w:pPr>
        <w:snapToGrid w:val="0"/>
        <w:spacing w:before="120" w:after="120" w:line="288" w:lineRule="auto"/>
        <w:jc w:val="center"/>
        <w:rPr>
          <w:sz w:val="18"/>
          <w:szCs w:val="18"/>
          <w:lang w:bidi="ar"/>
        </w:rPr>
      </w:pPr>
      <w:r w:rsidRPr="00BA0E2D">
        <w:rPr>
          <w:rFonts w:hint="eastAsia"/>
          <w:bCs/>
          <w:kern w:val="0"/>
          <w:sz w:val="20"/>
          <w:lang w:bidi="ar"/>
        </w:rPr>
        <w:t xml:space="preserve">     </w:t>
      </w:r>
      <w:r w:rsidRPr="00BA0E2D">
        <w:rPr>
          <w:bCs/>
          <w:kern w:val="0"/>
          <w:sz w:val="20"/>
          <w:lang w:bidi="ar"/>
        </w:rPr>
        <w:t>Figure</w:t>
      </w:r>
      <w:r w:rsidR="00993935" w:rsidRPr="00BA0E2D">
        <w:rPr>
          <w:bCs/>
          <w:kern w:val="0"/>
          <w:sz w:val="20"/>
          <w:lang w:bidi="ar"/>
        </w:rPr>
        <w:t xml:space="preserve"> 3.2-8</w:t>
      </w:r>
      <w:r w:rsidR="00993935" w:rsidRPr="00193851">
        <w:rPr>
          <w:rFonts w:hint="eastAsia"/>
          <w:kern w:val="0"/>
          <w:sz w:val="20"/>
          <w:lang w:bidi="ar"/>
        </w:rPr>
        <w:t xml:space="preserve"> </w:t>
      </w:r>
      <w:r w:rsidRPr="00193851">
        <w:rPr>
          <w:rFonts w:hint="eastAsia"/>
          <w:kern w:val="0"/>
          <w:sz w:val="20"/>
          <w:lang w:bidi="ar"/>
        </w:rPr>
        <w:t>CDMed SSBs from TRPs within a cell-cluster</w:t>
      </w:r>
      <w:r w:rsidRPr="002815AB">
        <w:rPr>
          <w:rFonts w:hint="eastAsia"/>
          <w:kern w:val="0"/>
          <w:sz w:val="20"/>
          <w:lang w:bidi="ar"/>
        </w:rPr>
        <w:t xml:space="preserve">          </w:t>
      </w:r>
      <w:r w:rsidRPr="00797447">
        <w:rPr>
          <w:rFonts w:hint="eastAsia"/>
          <w:kern w:val="0"/>
          <w:sz w:val="18"/>
          <w:szCs w:val="18"/>
          <w:lang w:bidi="ar"/>
        </w:rPr>
        <w:t xml:space="preserve">         </w:t>
      </w:r>
    </w:p>
    <w:p w:rsidR="001554A1" w:rsidRDefault="00FE1B65">
      <w:pPr>
        <w:snapToGrid w:val="0"/>
        <w:spacing w:before="120" w:after="120" w:line="240" w:lineRule="exact"/>
        <w:textAlignment w:val="center"/>
        <w:rPr>
          <w:i/>
          <w:sz w:val="20"/>
          <w:szCs w:val="18"/>
          <w:lang w:bidi="ar"/>
        </w:rPr>
      </w:pPr>
      <w:r w:rsidRPr="00BA0E2D">
        <w:rPr>
          <w:b/>
          <w:i/>
          <w:sz w:val="20"/>
          <w:lang w:bidi="ar"/>
        </w:rPr>
        <w:t>Proposal</w:t>
      </w:r>
      <w:r w:rsidRPr="00BA0E2D">
        <w:rPr>
          <w:b/>
          <w:bCs/>
          <w:i/>
          <w:sz w:val="20"/>
          <w:lang w:bidi="ar"/>
        </w:rPr>
        <w:t xml:space="preserve"> </w:t>
      </w:r>
      <w:r w:rsidRPr="00BA0E2D">
        <w:rPr>
          <w:rFonts w:hint="eastAsia"/>
          <w:b/>
          <w:i/>
          <w:sz w:val="20"/>
          <w:lang w:bidi="ar"/>
        </w:rPr>
        <w:t>11</w:t>
      </w:r>
      <w:r w:rsidRPr="00193851">
        <w:rPr>
          <w:b/>
          <w:bCs/>
          <w:i/>
          <w:sz w:val="20"/>
          <w:lang w:bidi="ar"/>
        </w:rPr>
        <w:t>:</w:t>
      </w:r>
      <w:r w:rsidRPr="00193851">
        <w:rPr>
          <w:b/>
          <w:i/>
          <w:sz w:val="20"/>
          <w:lang w:bidi="ar"/>
        </w:rPr>
        <w:t xml:space="preserve"> </w:t>
      </w:r>
      <w:r w:rsidRPr="00193851">
        <w:rPr>
          <w:bCs/>
          <w:i/>
          <w:sz w:val="20"/>
          <w:lang w:bidi="ar"/>
        </w:rPr>
        <w:t xml:space="preserve">For </w:t>
      </w:r>
      <w:r w:rsidRPr="00193851">
        <w:rPr>
          <w:rFonts w:hint="eastAsia"/>
          <w:bCs/>
          <w:i/>
          <w:sz w:val="20"/>
          <w:lang w:bidi="ar"/>
        </w:rPr>
        <w:t>cell-free/mTRP operation enabled starting from the initial access phase</w:t>
      </w:r>
      <w:r w:rsidRPr="00193851">
        <w:rPr>
          <w:bCs/>
          <w:i/>
          <w:sz w:val="20"/>
          <w:szCs w:val="18"/>
          <w:lang w:bidi="ar"/>
        </w:rPr>
        <w:t xml:space="preserve">, </w:t>
      </w:r>
      <w:r w:rsidRPr="00193851">
        <w:rPr>
          <w:rFonts w:hint="eastAsia"/>
          <w:i/>
          <w:sz w:val="20"/>
          <w:szCs w:val="18"/>
          <w:lang w:bidi="ar"/>
        </w:rPr>
        <w:t>SSBs from different TRPs within a cell-cluster shall be transmitted in CDM manner in addition to TDM and FDM</w:t>
      </w:r>
      <w:r w:rsidRPr="00252ADC">
        <w:rPr>
          <w:rFonts w:hint="eastAsia"/>
          <w:i/>
          <w:sz w:val="20"/>
          <w:szCs w:val="18"/>
          <w:lang w:bidi="ar"/>
        </w:rPr>
        <w:t xml:space="preserve"> to reduce access latency or energy consumption, where</w:t>
      </w:r>
    </w:p>
    <w:p w:rsidR="001554A1" w:rsidRDefault="005B0EA3">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C</w:t>
      </w:r>
      <w:r w:rsidR="00FE1B65">
        <w:rPr>
          <w:rFonts w:hint="eastAsia"/>
          <w:i/>
          <w:sz w:val="20"/>
          <w:szCs w:val="18"/>
          <w:lang w:bidi="ar"/>
        </w:rPr>
        <w:t>ell-cluster ID and TRP ID associated with a cell-cluster ID are determined by PSS/SSS sequence.</w:t>
      </w:r>
    </w:p>
    <w:p w:rsidR="001554A1" w:rsidRDefault="00FE1B65">
      <w:pPr>
        <w:snapToGrid w:val="0"/>
        <w:spacing w:before="120" w:after="120" w:line="288" w:lineRule="auto"/>
        <w:rPr>
          <w:b/>
          <w:bCs/>
          <w:sz w:val="20"/>
          <w:lang w:bidi="ar"/>
        </w:rPr>
      </w:pPr>
      <w:r>
        <w:rPr>
          <w:rFonts w:hint="eastAsia"/>
          <w:b/>
          <w:bCs/>
          <w:kern w:val="0"/>
          <w:sz w:val="20"/>
          <w:lang w:bidi="ar"/>
        </w:rPr>
        <w:t>System information acquisition for cell-free/mTRP operation</w:t>
      </w:r>
    </w:p>
    <w:p w:rsidR="001554A1" w:rsidRDefault="00FE1B65">
      <w:pPr>
        <w:snapToGrid w:val="0"/>
        <w:spacing w:before="120" w:after="120" w:line="288" w:lineRule="auto"/>
        <w:rPr>
          <w:sz w:val="20"/>
          <w:lang w:bidi="ar"/>
        </w:rPr>
      </w:pPr>
      <w:r>
        <w:rPr>
          <w:kern w:val="0"/>
          <w:sz w:val="20"/>
          <w:lang w:bidi="ar"/>
        </w:rPr>
        <w:t xml:space="preserve">After detecting </w:t>
      </w:r>
      <w:r>
        <w:rPr>
          <w:rFonts w:hint="eastAsia"/>
          <w:kern w:val="0"/>
          <w:sz w:val="20"/>
          <w:lang w:bidi="ar"/>
        </w:rPr>
        <w:t>the SSB transmitted by TRP(s) within a cell-cluster</w:t>
      </w:r>
      <w:r>
        <w:rPr>
          <w:kern w:val="0"/>
          <w:sz w:val="20"/>
          <w:lang w:bidi="ar"/>
        </w:rPr>
        <w:t xml:space="preserve">, the </w:t>
      </w:r>
      <w:r>
        <w:rPr>
          <w:bCs/>
          <w:iCs/>
          <w:sz w:val="20"/>
        </w:rPr>
        <w:t xml:space="preserve">corresponding mechanism for system information </w:t>
      </w:r>
      <w:r>
        <w:rPr>
          <w:rFonts w:hint="eastAsia"/>
          <w:bCs/>
          <w:iCs/>
          <w:sz w:val="20"/>
        </w:rPr>
        <w:t>delivery</w:t>
      </w:r>
      <w:r>
        <w:rPr>
          <w:bCs/>
          <w:iCs/>
          <w:sz w:val="20"/>
        </w:rPr>
        <w:t xml:space="preserve"> </w:t>
      </w:r>
      <w:r>
        <w:rPr>
          <w:kern w:val="0"/>
          <w:sz w:val="20"/>
          <w:lang w:bidi="ar"/>
        </w:rPr>
        <w:t>via</w:t>
      </w:r>
      <w:r>
        <w:rPr>
          <w:rFonts w:hint="eastAsia"/>
          <w:kern w:val="0"/>
          <w:sz w:val="20"/>
          <w:lang w:bidi="ar"/>
        </w:rPr>
        <w:t xml:space="preserve"> SIB (together with MIB) through PBCH in the SSB</w:t>
      </w:r>
      <w:r>
        <w:rPr>
          <w:kern w:val="0"/>
          <w:sz w:val="20"/>
          <w:lang w:bidi="ar"/>
        </w:rPr>
        <w:t xml:space="preserve"> should be further studied. </w:t>
      </w:r>
      <w:r>
        <w:rPr>
          <w:rFonts w:hint="eastAsia"/>
          <w:kern w:val="0"/>
          <w:sz w:val="20"/>
          <w:lang w:bidi="ar"/>
        </w:rPr>
        <w:t xml:space="preserve">Specifically, configuration information (e.g., SSB related configuration, RO related configuration, etc) related to TRP(s) within a cell-cluster can be provided by SIB, where PDSCH carrying SIB is scheduled by PDCCH in PBCH. </w:t>
      </w:r>
      <w:r>
        <w:rPr>
          <w:kern w:val="0"/>
          <w:sz w:val="20"/>
          <w:lang w:bidi="ar"/>
        </w:rPr>
        <w:t xml:space="preserve">For example, </w:t>
      </w:r>
      <w:r>
        <w:rPr>
          <w:rFonts w:hint="eastAsia"/>
          <w:kern w:val="0"/>
          <w:sz w:val="20"/>
          <w:lang w:bidi="ar"/>
        </w:rPr>
        <w:t>PBCH is provided by the SSB associated with TRP within a cell-cluster, where configuration information related to TRP(s) within a cell-cluster is provided by cell-cluster specific system information.</w:t>
      </w:r>
    </w:p>
    <w:p w:rsidR="001554A1" w:rsidRDefault="00FE1B65">
      <w:pPr>
        <w:numPr>
          <w:ilvl w:val="255"/>
          <w:numId w:val="0"/>
        </w:numPr>
        <w:snapToGrid w:val="0"/>
        <w:spacing w:before="120" w:after="120" w:line="288" w:lineRule="auto"/>
        <w:rPr>
          <w:kern w:val="0"/>
          <w:sz w:val="20"/>
          <w:lang w:bidi="ar"/>
        </w:rPr>
      </w:pPr>
      <w:r w:rsidRPr="00BA0E2D">
        <w:rPr>
          <w:b/>
          <w:i/>
          <w:sz w:val="20"/>
          <w:lang w:bidi="ar"/>
        </w:rPr>
        <w:t xml:space="preserve">Proposal </w:t>
      </w:r>
      <w:r w:rsidRPr="00BA0E2D">
        <w:rPr>
          <w:rFonts w:hint="eastAsia"/>
          <w:b/>
          <w:i/>
          <w:sz w:val="20"/>
          <w:lang w:bidi="ar"/>
        </w:rPr>
        <w:t>12</w:t>
      </w:r>
      <w:r w:rsidRPr="00BA0E2D">
        <w:rPr>
          <w:b/>
          <w:i/>
          <w:sz w:val="20"/>
          <w:lang w:bidi="ar"/>
        </w:rPr>
        <w:t>:</w:t>
      </w:r>
      <w:r w:rsidRPr="00193851">
        <w:rPr>
          <w:b/>
          <w:i/>
          <w:sz w:val="20"/>
          <w:lang w:bidi="ar"/>
        </w:rPr>
        <w:t xml:space="preserve"> </w:t>
      </w:r>
      <w:r w:rsidRPr="00193851">
        <w:rPr>
          <w:bCs/>
          <w:i/>
          <w:sz w:val="20"/>
          <w:lang w:bidi="ar"/>
        </w:rPr>
        <w:t xml:space="preserve">For </w:t>
      </w:r>
      <w:r w:rsidRPr="00193851">
        <w:rPr>
          <w:rFonts w:hint="eastAsia"/>
          <w:bCs/>
          <w:i/>
          <w:sz w:val="20"/>
          <w:lang w:bidi="ar"/>
        </w:rPr>
        <w:t>cell-free/mTRP operation enabled starting from the initial access phase</w:t>
      </w:r>
      <w:r w:rsidRPr="00193851">
        <w:rPr>
          <w:bCs/>
          <w:i/>
          <w:sz w:val="20"/>
          <w:lang w:bidi="ar"/>
        </w:rPr>
        <w:t xml:space="preserve">, configuration information (e.g., SSB </w:t>
      </w:r>
      <w:r w:rsidRPr="002815AB">
        <w:rPr>
          <w:bCs/>
          <w:i/>
          <w:sz w:val="20"/>
          <w:lang w:bidi="ar"/>
        </w:rPr>
        <w:t>related configuration, RO related configuration, etc) related to TRP(s) within a cell-cluster can be provided by SIB</w:t>
      </w:r>
      <w:r w:rsidRPr="00797447">
        <w:rPr>
          <w:rFonts w:hint="eastAsia"/>
          <w:bCs/>
          <w:i/>
          <w:sz w:val="20"/>
          <w:lang w:bidi="ar"/>
        </w:rPr>
        <w:t xml:space="preserve">, where </w:t>
      </w:r>
      <w:r w:rsidRPr="004018F8">
        <w:rPr>
          <w:bCs/>
          <w:i/>
          <w:sz w:val="20"/>
          <w:lang w:bidi="ar"/>
        </w:rPr>
        <w:t>PDSCH carrying SIB is scheduled by PDCCH in PBCH</w:t>
      </w:r>
      <w:r w:rsidRPr="00252ADC">
        <w:rPr>
          <w:rFonts w:hint="eastAsia"/>
          <w:bCs/>
          <w:i/>
          <w:sz w:val="20"/>
          <w:lang w:bidi="ar"/>
        </w:rPr>
        <w:t xml:space="preserve"> of the detected SSB</w:t>
      </w:r>
    </w:p>
    <w:p w:rsidR="001554A1"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pPr>
      <w:r>
        <w:rPr>
          <w:b/>
          <w:sz w:val="20"/>
        </w:rPr>
        <w:t>Support of on-demand SSB</w:t>
      </w:r>
    </w:p>
    <w:p w:rsidR="001554A1" w:rsidRDefault="00FE1B65">
      <w:pPr>
        <w:snapToGrid w:val="0"/>
        <w:spacing w:before="120" w:after="120"/>
        <w:rPr>
          <w:bCs/>
          <w:iCs/>
          <w:sz w:val="20"/>
        </w:rPr>
      </w:pPr>
      <w:r>
        <w:rPr>
          <w:rFonts w:hint="eastAsia"/>
          <w:bCs/>
          <w:iCs/>
          <w:sz w:val="20"/>
        </w:rPr>
        <w:t xml:space="preserve">In 5G NR, </w:t>
      </w:r>
      <w:r>
        <w:rPr>
          <w:bCs/>
          <w:iCs/>
          <w:sz w:val="20"/>
        </w:rPr>
        <w:t xml:space="preserve">on-demand SSB is introduced for network energy saving, which is mainly applied for RRC-connected state and </w:t>
      </w:r>
      <w:r>
        <w:rPr>
          <w:rFonts w:hint="eastAsia"/>
          <w:bCs/>
          <w:iCs/>
          <w:sz w:val="20"/>
        </w:rPr>
        <w:t>Scell</w:t>
      </w:r>
      <w:r>
        <w:rPr>
          <w:bCs/>
          <w:iCs/>
          <w:sz w:val="20"/>
        </w:rPr>
        <w:t xml:space="preserve"> operation</w:t>
      </w:r>
      <w:r>
        <w:rPr>
          <w:rFonts w:hint="eastAsia"/>
          <w:bCs/>
          <w:iCs/>
          <w:sz w:val="20"/>
        </w:rPr>
        <w:t xml:space="preserve">. For 6GR, </w:t>
      </w:r>
      <w:r>
        <w:rPr>
          <w:bCs/>
          <w:iCs/>
          <w:sz w:val="20"/>
        </w:rPr>
        <w:t xml:space="preserve">such </w:t>
      </w:r>
      <w:r>
        <w:rPr>
          <w:rFonts w:hint="eastAsia"/>
          <w:bCs/>
          <w:iCs/>
          <w:sz w:val="20"/>
        </w:rPr>
        <w:t>benefit</w:t>
      </w:r>
      <w:r>
        <w:rPr>
          <w:bCs/>
          <w:iCs/>
          <w:sz w:val="20"/>
        </w:rPr>
        <w:t xml:space="preserve"> still hold</w:t>
      </w:r>
      <w:r w:rsidR="002A6014">
        <w:rPr>
          <w:bCs/>
          <w:iCs/>
          <w:sz w:val="20"/>
        </w:rPr>
        <w:t>s</w:t>
      </w:r>
      <w:r>
        <w:rPr>
          <w:bCs/>
          <w:iCs/>
          <w:sz w:val="20"/>
        </w:rPr>
        <w:t xml:space="preserve"> for corresponding cases as mentioned in </w:t>
      </w:r>
      <w:r>
        <w:rPr>
          <w:bCs/>
          <w:iCs/>
          <w:sz w:val="20"/>
        </w:rPr>
        <w:fldChar w:fldCharType="begin"/>
      </w:r>
      <w:r>
        <w:rPr>
          <w:bCs/>
          <w:iCs/>
          <w:sz w:val="20"/>
        </w:rPr>
        <w:instrText xml:space="preserve"> REF _Ref220157861 \r \h </w:instrText>
      </w:r>
      <w:r>
        <w:rPr>
          <w:bCs/>
          <w:iCs/>
          <w:sz w:val="20"/>
        </w:rPr>
      </w:r>
      <w:r>
        <w:rPr>
          <w:bCs/>
          <w:iCs/>
          <w:sz w:val="20"/>
        </w:rPr>
        <w:fldChar w:fldCharType="separate"/>
      </w:r>
      <w:r>
        <w:rPr>
          <w:bCs/>
          <w:iCs/>
          <w:sz w:val="20"/>
        </w:rPr>
        <w:t>[</w:t>
      </w:r>
      <w:r>
        <w:rPr>
          <w:rFonts w:hint="eastAsia"/>
          <w:bCs/>
          <w:iCs/>
          <w:sz w:val="20"/>
        </w:rPr>
        <w:t>9</w:t>
      </w:r>
      <w:r>
        <w:rPr>
          <w:bCs/>
          <w:iCs/>
          <w:sz w:val="20"/>
        </w:rPr>
        <w:t>]</w:t>
      </w:r>
      <w:r>
        <w:rPr>
          <w:bCs/>
          <w:iCs/>
          <w:sz w:val="20"/>
        </w:rPr>
        <w:fldChar w:fldCharType="end"/>
      </w:r>
      <w:r>
        <w:rPr>
          <w:bCs/>
          <w:iCs/>
          <w:sz w:val="20"/>
        </w:rPr>
        <w:t xml:space="preserve">. Regarding the additional support </w:t>
      </w:r>
      <w:r w:rsidR="000E252C">
        <w:rPr>
          <w:bCs/>
          <w:iCs/>
          <w:sz w:val="20"/>
        </w:rPr>
        <w:t>in</w:t>
      </w:r>
      <w:r>
        <w:rPr>
          <w:bCs/>
          <w:iCs/>
          <w:sz w:val="20"/>
        </w:rPr>
        <w:t xml:space="preserve"> </w:t>
      </w:r>
      <w:r>
        <w:rPr>
          <w:rFonts w:hint="eastAsia"/>
          <w:bCs/>
          <w:iCs/>
          <w:sz w:val="20"/>
        </w:rPr>
        <w:t>Pcell,</w:t>
      </w:r>
      <w:r>
        <w:rPr>
          <w:bCs/>
          <w:iCs/>
          <w:sz w:val="20"/>
        </w:rPr>
        <w:t xml:space="preserve"> in addition to SSB with larger </w:t>
      </w:r>
      <w:r>
        <w:rPr>
          <w:rFonts w:hint="eastAsia"/>
          <w:bCs/>
          <w:iCs/>
          <w:sz w:val="20"/>
        </w:rPr>
        <w:t>periodicity</w:t>
      </w:r>
      <w:r>
        <w:rPr>
          <w:bCs/>
          <w:iCs/>
          <w:sz w:val="20"/>
        </w:rPr>
        <w:t xml:space="preserve"> as mentioned in Section 3.1.2, </w:t>
      </w:r>
      <w:r>
        <w:rPr>
          <w:rFonts w:hint="eastAsia"/>
          <w:bCs/>
          <w:iCs/>
          <w:sz w:val="20"/>
        </w:rPr>
        <w:t xml:space="preserve">it is </w:t>
      </w:r>
      <w:r>
        <w:rPr>
          <w:bCs/>
          <w:iCs/>
          <w:sz w:val="20"/>
        </w:rPr>
        <w:t>proper</w:t>
      </w:r>
      <w:r>
        <w:rPr>
          <w:rFonts w:hint="eastAsia"/>
          <w:bCs/>
          <w:iCs/>
          <w:sz w:val="20"/>
        </w:rPr>
        <w:t xml:space="preserve"> to use this mechanism in RRC connected state. For example, on-demand SSB transmissions can be carried out between fixed large-period SSB transmissions for providing additional opportunities of time/frequency </w:t>
      </w:r>
      <w:r>
        <w:rPr>
          <w:bCs/>
          <w:sz w:val="20"/>
        </w:rPr>
        <w:t xml:space="preserve">synchronization </w:t>
      </w:r>
      <w:r>
        <w:rPr>
          <w:rFonts w:hint="eastAsia"/>
          <w:bCs/>
          <w:sz w:val="20"/>
        </w:rPr>
        <w:t>and measurement</w:t>
      </w:r>
      <w:r>
        <w:rPr>
          <w:rFonts w:hint="eastAsia"/>
          <w:bCs/>
          <w:iCs/>
          <w:sz w:val="20"/>
        </w:rPr>
        <w:t xml:space="preserve">. For </w:t>
      </w:r>
      <w:r>
        <w:rPr>
          <w:bCs/>
          <w:iCs/>
          <w:sz w:val="20"/>
        </w:rPr>
        <w:t xml:space="preserve">idle/inactive </w:t>
      </w:r>
      <w:r w:rsidR="00F44C8E">
        <w:rPr>
          <w:bCs/>
          <w:iCs/>
          <w:sz w:val="20"/>
        </w:rPr>
        <w:t>state</w:t>
      </w:r>
      <w:r w:rsidR="0016311A">
        <w:rPr>
          <w:bCs/>
          <w:iCs/>
          <w:sz w:val="20"/>
        </w:rPr>
        <w:t>s</w:t>
      </w:r>
      <w:r>
        <w:rPr>
          <w:bCs/>
          <w:iCs/>
          <w:sz w:val="20"/>
        </w:rPr>
        <w:t xml:space="preserve">, </w:t>
      </w:r>
      <w:r>
        <w:rPr>
          <w:rFonts w:hint="eastAsia"/>
          <w:bCs/>
          <w:iCs/>
          <w:sz w:val="20"/>
        </w:rPr>
        <w:t>the benefits</w:t>
      </w:r>
      <w:r>
        <w:rPr>
          <w:bCs/>
          <w:iCs/>
          <w:sz w:val="20"/>
        </w:rPr>
        <w:t xml:space="preserve"> of UE triggered mechanism</w:t>
      </w:r>
      <w:r>
        <w:rPr>
          <w:rFonts w:hint="eastAsia"/>
          <w:bCs/>
          <w:iCs/>
          <w:sz w:val="20"/>
        </w:rPr>
        <w:t xml:space="preserve">, e.g., </w:t>
      </w:r>
      <w:r>
        <w:rPr>
          <w:bCs/>
          <w:iCs/>
          <w:sz w:val="20"/>
        </w:rPr>
        <w:t xml:space="preserve">via </w:t>
      </w:r>
      <w:r>
        <w:rPr>
          <w:rFonts w:hint="eastAsia"/>
          <w:bCs/>
          <w:iCs/>
          <w:sz w:val="20"/>
        </w:rPr>
        <w:t>UL WUS</w:t>
      </w:r>
      <w:r>
        <w:rPr>
          <w:bCs/>
          <w:iCs/>
          <w:sz w:val="20"/>
        </w:rPr>
        <w:t xml:space="preserve"> </w:t>
      </w:r>
      <w:r>
        <w:rPr>
          <w:rFonts w:hint="eastAsia"/>
          <w:bCs/>
          <w:iCs/>
          <w:sz w:val="20"/>
        </w:rPr>
        <w:t>for requesting SSB transmission</w:t>
      </w:r>
      <w:r>
        <w:rPr>
          <w:bCs/>
          <w:iCs/>
          <w:sz w:val="20"/>
        </w:rPr>
        <w:t>, is unclear. For example, as gNB, it will be more proper to enable the SSB transmission to avoid any missing access from UE side</w:t>
      </w:r>
      <w:r>
        <w:rPr>
          <w:rFonts w:hint="eastAsia"/>
          <w:bCs/>
          <w:iCs/>
          <w:sz w:val="20"/>
        </w:rPr>
        <w:t>.</w:t>
      </w:r>
      <w:r>
        <w:rPr>
          <w:bCs/>
          <w:iCs/>
          <w:sz w:val="20"/>
        </w:rPr>
        <w:t xml:space="preserve"> Additionally, to improve the </w:t>
      </w:r>
      <w:r>
        <w:rPr>
          <w:rFonts w:hint="eastAsia"/>
          <w:bCs/>
          <w:iCs/>
          <w:sz w:val="20"/>
        </w:rPr>
        <w:t>energy</w:t>
      </w:r>
      <w:r>
        <w:rPr>
          <w:bCs/>
          <w:iCs/>
          <w:sz w:val="20"/>
        </w:rPr>
        <w:t xml:space="preserve"> </w:t>
      </w:r>
      <w:r>
        <w:rPr>
          <w:rFonts w:hint="eastAsia"/>
          <w:bCs/>
          <w:iCs/>
          <w:sz w:val="20"/>
        </w:rPr>
        <w:t>efficiency</w:t>
      </w:r>
      <w:r>
        <w:rPr>
          <w:bCs/>
          <w:iCs/>
          <w:sz w:val="20"/>
        </w:rPr>
        <w:t xml:space="preserve">, larger SSB </w:t>
      </w:r>
      <w:r>
        <w:rPr>
          <w:rFonts w:hint="eastAsia"/>
          <w:bCs/>
          <w:iCs/>
          <w:sz w:val="20"/>
        </w:rPr>
        <w:t>or</w:t>
      </w:r>
      <w:r>
        <w:rPr>
          <w:bCs/>
          <w:iCs/>
          <w:sz w:val="20"/>
        </w:rPr>
        <w:t xml:space="preserve"> </w:t>
      </w:r>
      <w:r>
        <w:rPr>
          <w:rFonts w:hint="eastAsia"/>
          <w:bCs/>
          <w:iCs/>
          <w:sz w:val="20"/>
        </w:rPr>
        <w:t>sparse</w:t>
      </w:r>
      <w:r>
        <w:rPr>
          <w:bCs/>
          <w:iCs/>
          <w:sz w:val="20"/>
        </w:rPr>
        <w:t xml:space="preserve"> SSB transmission can be considered as mentioned above. </w:t>
      </w:r>
      <w:r>
        <w:rPr>
          <w:rFonts w:hint="eastAsia"/>
          <w:bCs/>
          <w:iCs/>
          <w:sz w:val="20"/>
        </w:rPr>
        <w:t xml:space="preserve"> </w:t>
      </w:r>
    </w:p>
    <w:p w:rsidR="001554A1" w:rsidRDefault="00FE1B65">
      <w:pPr>
        <w:snapToGrid w:val="0"/>
        <w:spacing w:before="120" w:after="120"/>
        <w:rPr>
          <w:i/>
          <w:sz w:val="20"/>
        </w:rPr>
      </w:pPr>
      <w:r>
        <w:rPr>
          <w:b/>
          <w:bCs/>
          <w:i/>
          <w:sz w:val="20"/>
        </w:rPr>
        <w:t xml:space="preserve">Proposal </w:t>
      </w:r>
      <w:r>
        <w:rPr>
          <w:rFonts w:hint="eastAsia"/>
          <w:b/>
          <w:bCs/>
          <w:i/>
          <w:sz w:val="20"/>
        </w:rPr>
        <w:t>13</w:t>
      </w:r>
      <w:r>
        <w:rPr>
          <w:b/>
          <w:bCs/>
          <w:i/>
          <w:sz w:val="20"/>
        </w:rPr>
        <w:t xml:space="preserve">: </w:t>
      </w:r>
      <w:r>
        <w:rPr>
          <w:rFonts w:hint="eastAsia"/>
          <w:i/>
          <w:sz w:val="20"/>
        </w:rPr>
        <w:t>On-demand SSB transmission mechanis</w:t>
      </w:r>
      <w:r>
        <w:rPr>
          <w:i/>
          <w:sz w:val="20"/>
        </w:rPr>
        <w:t xml:space="preserve">m </w:t>
      </w:r>
      <w:r>
        <w:rPr>
          <w:rFonts w:hint="eastAsia"/>
          <w:i/>
          <w:sz w:val="20"/>
        </w:rPr>
        <w:t>in RRC</w:t>
      </w:r>
      <w:r>
        <w:rPr>
          <w:i/>
          <w:sz w:val="20"/>
        </w:rPr>
        <w:t>-</w:t>
      </w:r>
      <w:r>
        <w:rPr>
          <w:rFonts w:hint="eastAsia"/>
          <w:i/>
          <w:sz w:val="20"/>
        </w:rPr>
        <w:t>connected state can be studied in 6GR.</w:t>
      </w:r>
    </w:p>
    <w:p w:rsidR="001554A1" w:rsidRDefault="00FE1B65">
      <w:pPr>
        <w:pStyle w:val="3"/>
        <w:keepNext/>
        <w:keepLines/>
        <w:widowControl w:val="0"/>
        <w:numPr>
          <w:ilvl w:val="2"/>
          <w:numId w:val="7"/>
        </w:numPr>
        <w:tabs>
          <w:tab w:val="left" w:pos="432"/>
        </w:tabs>
        <w:autoSpaceDE w:val="0"/>
        <w:autoSpaceDN w:val="0"/>
        <w:adjustRightInd w:val="0"/>
        <w:spacing w:beforeLines="0" w:before="240" w:after="120" w:line="240" w:lineRule="auto"/>
        <w:jc w:val="left"/>
        <w:rPr>
          <w:sz w:val="20"/>
          <w:lang w:val="zh-CN"/>
        </w:rPr>
      </w:pPr>
      <w:r>
        <w:rPr>
          <w:b/>
          <w:sz w:val="20"/>
          <w:lang w:val="zh-CN"/>
        </w:rPr>
        <w:lastRenderedPageBreak/>
        <w:t>N</w:t>
      </w:r>
      <w:r>
        <w:rPr>
          <w:rFonts w:hint="eastAsia"/>
          <w:b/>
          <w:sz w:val="20"/>
          <w:lang w:val="zh-CN"/>
        </w:rPr>
        <w:t>ecessity</w:t>
      </w:r>
      <w:r>
        <w:rPr>
          <w:b/>
          <w:sz w:val="20"/>
          <w:lang w:val="zh-CN"/>
        </w:rPr>
        <w:t xml:space="preserve"> of additional RSs</w:t>
      </w:r>
    </w:p>
    <w:p w:rsidR="001554A1" w:rsidRDefault="00FE1B65">
      <w:pPr>
        <w:numPr>
          <w:ilvl w:val="255"/>
          <w:numId w:val="0"/>
        </w:numPr>
        <w:spacing w:before="120" w:after="120"/>
        <w:rPr>
          <w:bCs/>
          <w:iCs/>
          <w:sz w:val="20"/>
        </w:rPr>
      </w:pPr>
      <w:r>
        <w:rPr>
          <w:bCs/>
          <w:iCs/>
          <w:sz w:val="20"/>
        </w:rPr>
        <w:t>As mentioned in Section 2, SSB can be used as the “</w:t>
      </w:r>
      <w:r>
        <w:rPr>
          <w:rFonts w:hint="eastAsia"/>
          <w:bCs/>
          <w:iCs/>
          <w:sz w:val="20"/>
        </w:rPr>
        <w:t>benchmark</w:t>
      </w:r>
      <w:r>
        <w:rPr>
          <w:bCs/>
          <w:iCs/>
          <w:sz w:val="20"/>
        </w:rPr>
        <w:t xml:space="preserve">” signal to </w:t>
      </w:r>
      <w:r>
        <w:rPr>
          <w:rFonts w:hint="eastAsia"/>
          <w:bCs/>
          <w:iCs/>
          <w:sz w:val="20"/>
        </w:rPr>
        <w:t xml:space="preserve">meet basic coarse-grained requirements (e.g., coarse time-frequency sync, initial coarse beam pair establishment, coarse-grained L1/L3 measurement,) for initial access, </w:t>
      </w:r>
      <w:r>
        <w:rPr>
          <w:bCs/>
          <w:iCs/>
          <w:sz w:val="20"/>
        </w:rPr>
        <w:t>beam management (e.g., intra-</w:t>
      </w:r>
      <w:r>
        <w:rPr>
          <w:rFonts w:hint="eastAsia"/>
          <w:bCs/>
          <w:iCs/>
          <w:sz w:val="20"/>
        </w:rPr>
        <w:t>/</w:t>
      </w:r>
      <w:r>
        <w:rPr>
          <w:bCs/>
          <w:iCs/>
          <w:sz w:val="20"/>
        </w:rPr>
        <w:t>inter-cell</w:t>
      </w:r>
      <w:r>
        <w:rPr>
          <w:rFonts w:hint="eastAsia"/>
          <w:bCs/>
          <w:iCs/>
          <w:sz w:val="20"/>
        </w:rPr>
        <w:t xml:space="preserve"> BM</w:t>
      </w:r>
      <w:r>
        <w:rPr>
          <w:bCs/>
          <w:iCs/>
          <w:sz w:val="20"/>
        </w:rPr>
        <w:t xml:space="preserve">) and mobility (e.g., L3 </w:t>
      </w:r>
      <w:r>
        <w:rPr>
          <w:rFonts w:hint="eastAsia"/>
          <w:bCs/>
          <w:iCs/>
          <w:sz w:val="20"/>
        </w:rPr>
        <w:t xml:space="preserve">HO, </w:t>
      </w:r>
      <w:r>
        <w:rPr>
          <w:bCs/>
          <w:iCs/>
          <w:sz w:val="20"/>
        </w:rPr>
        <w:t>LTM</w:t>
      </w:r>
      <w:r>
        <w:rPr>
          <w:rFonts w:hint="eastAsia"/>
          <w:bCs/>
          <w:iCs/>
          <w:sz w:val="20"/>
        </w:rPr>
        <w:t xml:space="preserve"> or CLTM</w:t>
      </w:r>
      <w:r>
        <w:rPr>
          <w:bCs/>
          <w:iCs/>
          <w:sz w:val="20"/>
        </w:rPr>
        <w:t>).</w:t>
      </w:r>
      <w:r>
        <w:rPr>
          <w:rFonts w:hint="eastAsia"/>
          <w:bCs/>
          <w:iCs/>
          <w:sz w:val="20"/>
        </w:rPr>
        <w:t xml:space="preserve"> In addition to SSB, CSI-RS is also introduced in 5G NR to support refined optimization in beam management (e.g., enable real-time beam tracking, switching and failure recovery) and refined decision-making in mobility (e.g., achieve beam-level high-precision measurement and handover execution) in the connected state. </w:t>
      </w:r>
    </w:p>
    <w:p w:rsidR="001554A1" w:rsidRDefault="00FE1B65">
      <w:pPr>
        <w:numPr>
          <w:ilvl w:val="255"/>
          <w:numId w:val="0"/>
        </w:numPr>
        <w:spacing w:before="120" w:after="120"/>
        <w:rPr>
          <w:bCs/>
          <w:iCs/>
          <w:sz w:val="20"/>
        </w:rPr>
      </w:pPr>
      <w:r>
        <w:rPr>
          <w:bCs/>
          <w:iCs/>
          <w:sz w:val="20"/>
        </w:rPr>
        <w:t xml:space="preserve">In 6GR, </w:t>
      </w:r>
      <w:r>
        <w:rPr>
          <w:rFonts w:hint="eastAsia"/>
          <w:bCs/>
          <w:iCs/>
          <w:sz w:val="20"/>
        </w:rPr>
        <w:t xml:space="preserve">even if cell-free or </w:t>
      </w:r>
      <w:r w:rsidR="00E92AB5">
        <w:rPr>
          <w:bCs/>
          <w:iCs/>
          <w:sz w:val="20"/>
        </w:rPr>
        <w:t>m</w:t>
      </w:r>
      <w:r>
        <w:rPr>
          <w:rFonts w:hint="eastAsia"/>
          <w:bCs/>
          <w:iCs/>
          <w:sz w:val="20"/>
        </w:rPr>
        <w:t xml:space="preserve">TRP operation is proposed </w:t>
      </w:r>
      <w:r w:rsidR="00E92AB5">
        <w:rPr>
          <w:bCs/>
          <w:iCs/>
          <w:sz w:val="20"/>
        </w:rPr>
        <w:t xml:space="preserve">to </w:t>
      </w:r>
      <w:r>
        <w:rPr>
          <w:rFonts w:hint="eastAsia"/>
          <w:bCs/>
          <w:iCs/>
          <w:sz w:val="20"/>
        </w:rPr>
        <w:t>start from initial access phase</w:t>
      </w:r>
      <w:r w:rsidR="00483C74">
        <w:rPr>
          <w:bCs/>
          <w:iCs/>
          <w:sz w:val="20"/>
        </w:rPr>
        <w:t>, it’s still preferred to take</w:t>
      </w:r>
      <w:r>
        <w:rPr>
          <w:rFonts w:hint="eastAsia"/>
          <w:bCs/>
          <w:iCs/>
          <w:sz w:val="20"/>
        </w:rPr>
        <w:t xml:space="preserve"> SSB as </w:t>
      </w:r>
      <w:r>
        <w:rPr>
          <w:bCs/>
          <w:iCs/>
          <w:sz w:val="20"/>
        </w:rPr>
        <w:t>“</w:t>
      </w:r>
      <w:r>
        <w:rPr>
          <w:rFonts w:hint="eastAsia"/>
          <w:bCs/>
          <w:iCs/>
          <w:sz w:val="20"/>
        </w:rPr>
        <w:t>benchmark</w:t>
      </w:r>
      <w:r>
        <w:rPr>
          <w:bCs/>
          <w:iCs/>
          <w:sz w:val="20"/>
        </w:rPr>
        <w:t>”</w:t>
      </w:r>
      <w:r>
        <w:rPr>
          <w:rFonts w:hint="eastAsia"/>
          <w:bCs/>
          <w:iCs/>
          <w:sz w:val="20"/>
        </w:rPr>
        <w:t xml:space="preserve"> signal to achieve the relevant functionalities. As for whether other RSs (e.g., CSI-RS) also need to be supported in the initial access phase, it should be carefully evaluated and studied unless clear requirements and motivations are identified.  </w:t>
      </w:r>
    </w:p>
    <w:p w:rsidR="001554A1" w:rsidRDefault="00FE1B65" w:rsidP="001554A1">
      <w:pPr>
        <w:numPr>
          <w:ilvl w:val="255"/>
          <w:numId w:val="0"/>
        </w:numPr>
        <w:spacing w:before="120" w:after="120" w:line="240" w:lineRule="auto"/>
        <w:rPr>
          <w:i/>
          <w:sz w:val="20"/>
        </w:rPr>
      </w:pPr>
      <w:r>
        <w:rPr>
          <w:b/>
          <w:bCs/>
          <w:i/>
          <w:sz w:val="20"/>
        </w:rPr>
        <w:t xml:space="preserve">Proposal </w:t>
      </w:r>
      <w:r>
        <w:rPr>
          <w:rFonts w:hint="eastAsia"/>
          <w:b/>
          <w:bCs/>
          <w:i/>
          <w:sz w:val="20"/>
        </w:rPr>
        <w:t>14</w:t>
      </w:r>
      <w:r>
        <w:rPr>
          <w:b/>
          <w:bCs/>
          <w:i/>
          <w:sz w:val="20"/>
        </w:rPr>
        <w:t>:</w:t>
      </w:r>
      <w:r>
        <w:rPr>
          <w:i/>
          <w:sz w:val="20"/>
        </w:rPr>
        <w:t xml:space="preserve"> T</w:t>
      </w:r>
      <w:r>
        <w:rPr>
          <w:rFonts w:hint="eastAsia"/>
          <w:i/>
          <w:sz w:val="20"/>
        </w:rPr>
        <w:t>h</w:t>
      </w:r>
      <w:r>
        <w:rPr>
          <w:i/>
          <w:sz w:val="20"/>
        </w:rPr>
        <w:t xml:space="preserve">e SSB-based operation is considered as the baseline </w:t>
      </w:r>
      <w:r>
        <w:rPr>
          <w:rFonts w:hint="eastAsia"/>
          <w:i/>
          <w:sz w:val="20"/>
        </w:rPr>
        <w:t>for</w:t>
      </w:r>
      <w:r>
        <w:rPr>
          <w:i/>
          <w:sz w:val="20"/>
        </w:rPr>
        <w:t xml:space="preserve"> initial access</w:t>
      </w:r>
      <w:r>
        <w:rPr>
          <w:rFonts w:hint="eastAsia"/>
          <w:i/>
          <w:sz w:val="20"/>
        </w:rPr>
        <w:t xml:space="preserve"> stage</w:t>
      </w:r>
      <w:r>
        <w:rPr>
          <w:i/>
          <w:sz w:val="20"/>
        </w:rPr>
        <w:t>.</w:t>
      </w:r>
    </w:p>
    <w:p w:rsidR="003659E1" w:rsidRPr="003659E1" w:rsidRDefault="003659E1" w:rsidP="00BA0E2D">
      <w:pPr>
        <w:numPr>
          <w:ilvl w:val="0"/>
          <w:numId w:val="18"/>
        </w:numPr>
        <w:tabs>
          <w:tab w:val="left" w:pos="420"/>
        </w:tabs>
        <w:snapToGrid w:val="0"/>
        <w:spacing w:before="120" w:afterLines="0" w:after="120" w:line="240" w:lineRule="exact"/>
        <w:textAlignment w:val="center"/>
        <w:rPr>
          <w:i/>
          <w:sz w:val="20"/>
          <w:szCs w:val="18"/>
          <w:lang w:bidi="ar"/>
        </w:rPr>
      </w:pPr>
      <w:r w:rsidRPr="00145A66">
        <w:rPr>
          <w:i/>
          <w:sz w:val="20"/>
          <w:szCs w:val="18"/>
          <w:lang w:bidi="ar"/>
        </w:rPr>
        <w:t xml:space="preserve">Whether to introduce </w:t>
      </w:r>
      <w:r w:rsidRPr="008B6C6F">
        <w:rPr>
          <w:i/>
          <w:sz w:val="20"/>
          <w:szCs w:val="18"/>
          <w:lang w:bidi="ar"/>
        </w:rPr>
        <w:t xml:space="preserve">other RSs, e.g., CSI-RS, </w:t>
      </w:r>
      <w:r w:rsidRPr="004541ED">
        <w:rPr>
          <w:i/>
          <w:sz w:val="20"/>
          <w:szCs w:val="18"/>
          <w:lang w:bidi="ar"/>
        </w:rPr>
        <w:t>at this stage requires carefully evaluation and study</w:t>
      </w:r>
      <w:r w:rsidRPr="00696543">
        <w:rPr>
          <w:i/>
          <w:sz w:val="20"/>
          <w:szCs w:val="18"/>
          <w:lang w:bidi="ar"/>
        </w:rPr>
        <w:t xml:space="preserve"> unless clear requirements and motivations are identified.</w:t>
      </w:r>
    </w:p>
    <w:p w:rsidR="001554A1" w:rsidRDefault="00FE1B6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DL common channel transmission</w:t>
      </w:r>
    </w:p>
    <w:p w:rsidR="001554A1" w:rsidRDefault="00FE1B65">
      <w:pPr>
        <w:spacing w:before="120" w:after="120"/>
      </w:pPr>
      <w:r>
        <w:rPr>
          <w:rFonts w:hint="eastAsia"/>
          <w:sz w:val="20"/>
          <w:szCs w:val="18"/>
        </w:rPr>
        <w:t xml:space="preserve">In 5G NR, different DL common signals/channels have their own time-domain sweeping patterns, which provides some flexibility for the network. However, it also restricts the transmission of unicast data and is not conducive to NW energy efficiency. In addition, the mechanism of NTN beam hopping also </w:t>
      </w:r>
      <w:r w:rsidR="00E175D2">
        <w:rPr>
          <w:sz w:val="20"/>
          <w:szCs w:val="18"/>
        </w:rPr>
        <w:t>mandate</w:t>
      </w:r>
      <w:r>
        <w:rPr>
          <w:rFonts w:hint="eastAsia"/>
          <w:sz w:val="20"/>
          <w:szCs w:val="18"/>
        </w:rPr>
        <w:t xml:space="preserve"> </w:t>
      </w:r>
      <w:r w:rsidR="000F3B32">
        <w:rPr>
          <w:sz w:val="20"/>
          <w:szCs w:val="18"/>
        </w:rPr>
        <w:t xml:space="preserve">the transmission of </w:t>
      </w:r>
      <w:r>
        <w:rPr>
          <w:rFonts w:hint="eastAsia"/>
          <w:sz w:val="20"/>
          <w:szCs w:val="18"/>
        </w:rPr>
        <w:t xml:space="preserve">DL common signals/channels </w:t>
      </w:r>
      <w:r w:rsidR="000F3B32">
        <w:rPr>
          <w:sz w:val="20"/>
          <w:szCs w:val="18"/>
        </w:rPr>
        <w:t xml:space="preserve">in </w:t>
      </w:r>
      <w:r>
        <w:rPr>
          <w:rFonts w:hint="eastAsia"/>
          <w:sz w:val="20"/>
          <w:szCs w:val="18"/>
        </w:rPr>
        <w:t>centralized</w:t>
      </w:r>
      <w:r w:rsidR="000F3B32">
        <w:rPr>
          <w:sz w:val="20"/>
          <w:szCs w:val="18"/>
        </w:rPr>
        <w:t xml:space="preserve"> </w:t>
      </w:r>
      <w:r w:rsidR="000F3B32">
        <w:rPr>
          <w:rFonts w:hint="eastAsia"/>
          <w:sz w:val="20"/>
          <w:szCs w:val="18"/>
        </w:rPr>
        <w:t>manner</w:t>
      </w:r>
      <w:r>
        <w:rPr>
          <w:rFonts w:hint="eastAsia"/>
          <w:sz w:val="20"/>
          <w:szCs w:val="18"/>
        </w:rPr>
        <w:t xml:space="preserve"> to </w:t>
      </w:r>
      <w:r w:rsidR="000F3B32">
        <w:rPr>
          <w:rFonts w:hint="eastAsia"/>
          <w:sz w:val="20"/>
          <w:szCs w:val="18"/>
        </w:rPr>
        <w:t>enable</w:t>
      </w:r>
      <w:r w:rsidR="000F3B32">
        <w:rPr>
          <w:sz w:val="20"/>
          <w:szCs w:val="18"/>
        </w:rPr>
        <w:t xml:space="preserve"> </w:t>
      </w:r>
      <w:r>
        <w:rPr>
          <w:rFonts w:hint="eastAsia"/>
          <w:sz w:val="20"/>
          <w:szCs w:val="18"/>
        </w:rPr>
        <w:t xml:space="preserve">unified sweeping. </w:t>
      </w:r>
    </w:p>
    <w:p w:rsidR="001554A1" w:rsidRDefault="00FE1B65">
      <w:pPr>
        <w:snapToGrid w:val="0"/>
        <w:spacing w:before="120" w:after="120"/>
        <w:rPr>
          <w:sz w:val="20"/>
          <w:highlight w:val="yellow"/>
        </w:rPr>
      </w:pPr>
      <w:r>
        <w:rPr>
          <w:b/>
          <w:bCs/>
          <w:i/>
          <w:sz w:val="20"/>
        </w:rPr>
        <w:t>Observation 1</w:t>
      </w:r>
      <w:r>
        <w:rPr>
          <w:rFonts w:hint="eastAsia"/>
          <w:b/>
          <w:bCs/>
          <w:i/>
          <w:sz w:val="20"/>
        </w:rPr>
        <w:t>2</w:t>
      </w:r>
      <w:r>
        <w:rPr>
          <w:b/>
          <w:bCs/>
          <w:i/>
          <w:sz w:val="20"/>
        </w:rPr>
        <w:t>:</w:t>
      </w:r>
      <w:r>
        <w:rPr>
          <w:bCs/>
          <w:i/>
          <w:iCs/>
          <w:sz w:val="20"/>
        </w:rPr>
        <w:t xml:space="preserve"> </w:t>
      </w:r>
      <w:r>
        <w:rPr>
          <w:rFonts w:hint="eastAsia"/>
          <w:bCs/>
          <w:i/>
          <w:iCs/>
          <w:sz w:val="20"/>
        </w:rPr>
        <w:t>The independent time-domain sweeping transmission patterns of different DL common signals/channels are not conducive to network energy saving and the realization of NTN beam hopping.</w:t>
      </w:r>
    </w:p>
    <w:p w:rsidR="001554A1" w:rsidRDefault="00017B22">
      <w:pPr>
        <w:spacing w:before="120" w:after="120"/>
        <w:rPr>
          <w:sz w:val="20"/>
          <w:szCs w:val="18"/>
        </w:rPr>
      </w:pPr>
      <w:r>
        <w:rPr>
          <w:sz w:val="20"/>
          <w:szCs w:val="18"/>
        </w:rPr>
        <w:t>Then, a</w:t>
      </w:r>
      <w:r w:rsidR="00FE1B65">
        <w:rPr>
          <w:rFonts w:hint="eastAsia"/>
          <w:sz w:val="20"/>
          <w:szCs w:val="18"/>
        </w:rPr>
        <w:t xml:space="preserve"> common block with N symbols can be defined to accommodate different DL common signals. As an example shown in Figure </w:t>
      </w:r>
      <w:r w:rsidR="00993935">
        <w:rPr>
          <w:sz w:val="20"/>
          <w:szCs w:val="18"/>
        </w:rPr>
        <w:t>4-1</w:t>
      </w:r>
      <w:r w:rsidR="00FE1B65">
        <w:rPr>
          <w:rFonts w:hint="eastAsia"/>
          <w:sz w:val="20"/>
          <w:szCs w:val="18"/>
        </w:rPr>
        <w:t xml:space="preserve">, one SSB, SIB1 PDCCH/PDSCH corresponding to the SSB are included in the common block. </w:t>
      </w:r>
    </w:p>
    <w:p w:rsidR="001554A1" w:rsidRDefault="00FE1B65">
      <w:pPr>
        <w:spacing w:before="120" w:after="120"/>
        <w:jc w:val="center"/>
      </w:pPr>
      <w:r>
        <w:rPr>
          <w:noProof/>
        </w:rPr>
        <w:drawing>
          <wp:inline distT="0" distB="0" distL="114300" distR="114300">
            <wp:extent cx="2326005" cy="1405255"/>
            <wp:effectExtent l="0" t="0" r="5715" b="1206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3"/>
                    <a:stretch>
                      <a:fillRect/>
                    </a:stretch>
                  </pic:blipFill>
                  <pic:spPr>
                    <a:xfrm>
                      <a:off x="0" y="0"/>
                      <a:ext cx="2326005" cy="1405255"/>
                    </a:xfrm>
                    <a:prstGeom prst="rect">
                      <a:avLst/>
                    </a:prstGeom>
                    <a:noFill/>
                    <a:ln>
                      <a:noFill/>
                    </a:ln>
                  </pic:spPr>
                </pic:pic>
              </a:graphicData>
            </a:graphic>
          </wp:inline>
        </w:drawing>
      </w:r>
    </w:p>
    <w:p w:rsidR="001554A1" w:rsidRPr="00BA0E2D" w:rsidRDefault="00FE1B65">
      <w:pPr>
        <w:spacing w:before="120" w:after="120"/>
        <w:jc w:val="center"/>
        <w:rPr>
          <w:sz w:val="20"/>
        </w:rPr>
      </w:pPr>
      <w:r w:rsidRPr="00BA0E2D">
        <w:rPr>
          <w:rFonts w:hint="eastAsia"/>
          <w:sz w:val="20"/>
        </w:rPr>
        <w:t xml:space="preserve">Figure </w:t>
      </w:r>
      <w:r w:rsidR="00993935" w:rsidRPr="00BA0E2D">
        <w:rPr>
          <w:sz w:val="20"/>
        </w:rPr>
        <w:t>4-1</w:t>
      </w:r>
      <w:r w:rsidRPr="00BA0E2D">
        <w:rPr>
          <w:rFonts w:hint="eastAsia"/>
          <w:sz w:val="20"/>
        </w:rPr>
        <w:t>: Example of compact DL common channel design</w:t>
      </w:r>
    </w:p>
    <w:p w:rsidR="001554A1" w:rsidRDefault="00FE1B65">
      <w:pPr>
        <w:spacing w:before="120" w:after="120"/>
        <w:rPr>
          <w:sz w:val="20"/>
          <w:szCs w:val="18"/>
        </w:rPr>
      </w:pPr>
      <w:r>
        <w:rPr>
          <w:rFonts w:hint="eastAsia"/>
          <w:sz w:val="20"/>
          <w:szCs w:val="18"/>
        </w:rPr>
        <w:t xml:space="preserve">To provide sufficient PDSCH capacity, </w:t>
      </w:r>
      <w:r w:rsidR="00BE6B25">
        <w:rPr>
          <w:sz w:val="20"/>
          <w:szCs w:val="18"/>
        </w:rPr>
        <w:t xml:space="preserve">the following options can be considered, e.g., </w:t>
      </w:r>
    </w:p>
    <w:p w:rsidR="001554A1" w:rsidRDefault="00FE1B65">
      <w:pPr>
        <w:numPr>
          <w:ilvl w:val="0"/>
          <w:numId w:val="22"/>
        </w:numPr>
        <w:spacing w:before="120" w:after="120" w:line="260" w:lineRule="auto"/>
        <w:rPr>
          <w:sz w:val="20"/>
        </w:rPr>
      </w:pPr>
      <w:r>
        <w:rPr>
          <w:rFonts w:hint="eastAsia"/>
          <w:sz w:val="20"/>
        </w:rPr>
        <w:t xml:space="preserve">Option 1: Sufficient time domain resource is allocated for the PDSCH, a larger value of N is required, more than one SSB may be involved in one common block. </w:t>
      </w:r>
    </w:p>
    <w:p w:rsidR="001554A1" w:rsidRDefault="00FE1B65">
      <w:pPr>
        <w:numPr>
          <w:ilvl w:val="0"/>
          <w:numId w:val="22"/>
        </w:numPr>
        <w:spacing w:before="120" w:after="120" w:line="260" w:lineRule="auto"/>
        <w:rPr>
          <w:sz w:val="20"/>
        </w:rPr>
      </w:pPr>
      <w:r>
        <w:rPr>
          <w:rFonts w:hint="eastAsia"/>
          <w:sz w:val="20"/>
        </w:rPr>
        <w:t xml:space="preserve">Option 2: Rate matching </w:t>
      </w:r>
      <w:r w:rsidR="00F46D22">
        <w:rPr>
          <w:sz w:val="20"/>
        </w:rPr>
        <w:t>or</w:t>
      </w:r>
      <w:r>
        <w:rPr>
          <w:rFonts w:hint="eastAsia"/>
          <w:sz w:val="20"/>
        </w:rPr>
        <w:t xml:space="preserve"> discontinuous FDRA based SIB1 PDSCH transmission can be considered.</w:t>
      </w:r>
    </w:p>
    <w:p w:rsidR="001554A1" w:rsidRDefault="00FE1B65">
      <w:pPr>
        <w:snapToGrid w:val="0"/>
        <w:spacing w:before="120" w:after="120"/>
        <w:rPr>
          <w:bCs/>
          <w:i/>
          <w:sz w:val="20"/>
        </w:rPr>
      </w:pPr>
      <w:r>
        <w:rPr>
          <w:b/>
          <w:bCs/>
          <w:i/>
          <w:sz w:val="20"/>
        </w:rPr>
        <w:t>Proposal 1</w:t>
      </w:r>
      <w:r>
        <w:rPr>
          <w:rFonts w:hint="eastAsia"/>
          <w:b/>
          <w:bCs/>
          <w:i/>
          <w:sz w:val="20"/>
        </w:rPr>
        <w:t>5</w:t>
      </w:r>
      <w:r>
        <w:rPr>
          <w:b/>
          <w:bCs/>
          <w:i/>
          <w:sz w:val="20"/>
        </w:rPr>
        <w:t xml:space="preserve">: </w:t>
      </w:r>
      <w:r w:rsidR="009364A1">
        <w:rPr>
          <w:bCs/>
          <w:i/>
          <w:sz w:val="20"/>
        </w:rPr>
        <w:t>C</w:t>
      </w:r>
      <w:r>
        <w:rPr>
          <w:bCs/>
          <w:i/>
          <w:sz w:val="20"/>
        </w:rPr>
        <w:t xml:space="preserve">ompact DL common </w:t>
      </w:r>
      <w:r>
        <w:rPr>
          <w:rFonts w:hint="eastAsia"/>
          <w:bCs/>
          <w:i/>
          <w:sz w:val="20"/>
        </w:rPr>
        <w:t>signals/</w:t>
      </w:r>
      <w:r>
        <w:rPr>
          <w:bCs/>
          <w:i/>
          <w:sz w:val="20"/>
        </w:rPr>
        <w:t>channel</w:t>
      </w:r>
      <w:r>
        <w:rPr>
          <w:rFonts w:hint="eastAsia"/>
          <w:bCs/>
          <w:i/>
          <w:sz w:val="20"/>
        </w:rPr>
        <w:t>s</w:t>
      </w:r>
      <w:r>
        <w:rPr>
          <w:bCs/>
          <w:i/>
          <w:sz w:val="20"/>
        </w:rPr>
        <w:t xml:space="preserve"> design should be studied in 6G.</w:t>
      </w:r>
    </w:p>
    <w:p w:rsidR="001554A1" w:rsidRDefault="00FE1B65">
      <w:pPr>
        <w:spacing w:before="120" w:after="120"/>
        <w:rPr>
          <w:sz w:val="20"/>
          <w:szCs w:val="18"/>
        </w:rPr>
      </w:pPr>
      <w:r>
        <w:rPr>
          <w:sz w:val="20"/>
          <w:szCs w:val="18"/>
        </w:rPr>
        <w:t xml:space="preserve">Additionally, as highlighted in </w:t>
      </w:r>
      <w:r>
        <w:rPr>
          <w:sz w:val="20"/>
          <w:szCs w:val="18"/>
        </w:rPr>
        <w:fldChar w:fldCharType="begin"/>
      </w:r>
      <w:r>
        <w:rPr>
          <w:sz w:val="20"/>
          <w:szCs w:val="18"/>
        </w:rPr>
        <w:instrText xml:space="preserve"> REF _Ref220161089 \r \h </w:instrText>
      </w:r>
      <w:r>
        <w:rPr>
          <w:sz w:val="20"/>
          <w:szCs w:val="18"/>
        </w:rPr>
      </w:r>
      <w:r>
        <w:rPr>
          <w:sz w:val="20"/>
          <w:szCs w:val="18"/>
        </w:rPr>
        <w:fldChar w:fldCharType="separate"/>
      </w:r>
      <w:r>
        <w:rPr>
          <w:sz w:val="20"/>
          <w:szCs w:val="18"/>
        </w:rPr>
        <w:t>[</w:t>
      </w:r>
      <w:r>
        <w:rPr>
          <w:rFonts w:hint="eastAsia"/>
          <w:sz w:val="20"/>
          <w:szCs w:val="18"/>
        </w:rPr>
        <w:t>10</w:t>
      </w:r>
      <w:r>
        <w:rPr>
          <w:sz w:val="20"/>
          <w:szCs w:val="18"/>
        </w:rPr>
        <w:t>]</w:t>
      </w:r>
      <w:r>
        <w:rPr>
          <w:sz w:val="20"/>
          <w:szCs w:val="18"/>
        </w:rPr>
        <w:fldChar w:fldCharType="end"/>
      </w:r>
      <w:r>
        <w:rPr>
          <w:sz w:val="20"/>
          <w:szCs w:val="18"/>
        </w:rPr>
        <w:t xml:space="preserve">, to enable the operation for different UE types and </w:t>
      </w:r>
      <w:r>
        <w:rPr>
          <w:rFonts w:hint="eastAsia"/>
          <w:sz w:val="20"/>
          <w:szCs w:val="18"/>
        </w:rPr>
        <w:t>more</w:t>
      </w:r>
      <w:r>
        <w:rPr>
          <w:sz w:val="20"/>
          <w:szCs w:val="18"/>
        </w:rPr>
        <w:t xml:space="preserve"> </w:t>
      </w:r>
      <w:r>
        <w:rPr>
          <w:rFonts w:hint="eastAsia"/>
          <w:sz w:val="20"/>
          <w:szCs w:val="18"/>
        </w:rPr>
        <w:t>efficient</w:t>
      </w:r>
      <w:r>
        <w:rPr>
          <w:sz w:val="20"/>
          <w:szCs w:val="18"/>
        </w:rPr>
        <w:t xml:space="preserve"> resource </w:t>
      </w:r>
      <w:r>
        <w:rPr>
          <w:rFonts w:hint="eastAsia"/>
          <w:sz w:val="20"/>
          <w:szCs w:val="18"/>
        </w:rPr>
        <w:t>utilizatio</w:t>
      </w:r>
      <w:r>
        <w:rPr>
          <w:sz w:val="20"/>
          <w:szCs w:val="18"/>
        </w:rPr>
        <w:t xml:space="preserve">n/transmission for different common channel, e.g., SIB, paging and OSI, it’s </w:t>
      </w:r>
      <w:r>
        <w:rPr>
          <w:rFonts w:hint="eastAsia"/>
          <w:sz w:val="20"/>
          <w:szCs w:val="18"/>
        </w:rPr>
        <w:t>beneficial</w:t>
      </w:r>
      <w:r>
        <w:rPr>
          <w:sz w:val="20"/>
          <w:szCs w:val="18"/>
        </w:rPr>
        <w:t xml:space="preserve"> to support scalable BWP and CORESET#0 </w:t>
      </w:r>
      <w:r>
        <w:rPr>
          <w:rFonts w:hint="eastAsia"/>
          <w:sz w:val="20"/>
          <w:szCs w:val="18"/>
        </w:rPr>
        <w:t>configuration.</w:t>
      </w:r>
      <w:r>
        <w:rPr>
          <w:sz w:val="20"/>
          <w:szCs w:val="18"/>
        </w:rPr>
        <w:t xml:space="preserve"> </w:t>
      </w:r>
    </w:p>
    <w:p w:rsidR="001554A1" w:rsidRDefault="00FE1B65">
      <w:pPr>
        <w:snapToGrid w:val="0"/>
        <w:spacing w:before="120" w:after="120"/>
        <w:rPr>
          <w:bCs/>
          <w:i/>
          <w:sz w:val="20"/>
        </w:rPr>
      </w:pPr>
      <w:r>
        <w:rPr>
          <w:b/>
          <w:bCs/>
          <w:i/>
          <w:sz w:val="20"/>
        </w:rPr>
        <w:t>Proposal 1</w:t>
      </w:r>
      <w:r>
        <w:rPr>
          <w:rFonts w:hint="eastAsia"/>
          <w:b/>
          <w:bCs/>
          <w:i/>
          <w:sz w:val="20"/>
        </w:rPr>
        <w:t>6</w:t>
      </w:r>
      <w:r>
        <w:rPr>
          <w:b/>
          <w:bCs/>
          <w:i/>
          <w:sz w:val="20"/>
        </w:rPr>
        <w:t xml:space="preserve">: </w:t>
      </w:r>
      <w:r w:rsidR="009364A1">
        <w:rPr>
          <w:bCs/>
          <w:i/>
          <w:sz w:val="20"/>
        </w:rPr>
        <w:t>S</w:t>
      </w:r>
      <w:r>
        <w:rPr>
          <w:bCs/>
          <w:i/>
          <w:sz w:val="20"/>
        </w:rPr>
        <w:t>calable BWP/CORESET operation should be studied in 6G.</w:t>
      </w:r>
    </w:p>
    <w:p w:rsidR="001554A1" w:rsidRDefault="001360BB">
      <w:pPr>
        <w:pStyle w:val="1"/>
        <w:keepNext w:val="0"/>
        <w:keepLines w:val="0"/>
        <w:widowControl w:val="0"/>
        <w:numPr>
          <w:ilvl w:val="0"/>
          <w:numId w:val="7"/>
        </w:numPr>
        <w:pBdr>
          <w:top w:val="none" w:sz="0" w:space="0" w:color="auto"/>
        </w:pBdr>
        <w:tabs>
          <w:tab w:val="left" w:pos="432"/>
        </w:tabs>
        <w:autoSpaceDE w:val="0"/>
        <w:autoSpaceDN w:val="0"/>
        <w:adjustRightInd w:val="0"/>
        <w:snapToGrid w:val="0"/>
        <w:spacing w:beforeLines="0" w:before="120" w:after="120" w:line="240" w:lineRule="auto"/>
        <w:ind w:left="431" w:hanging="431"/>
        <w:jc w:val="left"/>
        <w:rPr>
          <w:bCs/>
          <w:i/>
          <w:sz w:val="20"/>
        </w:rPr>
      </w:pPr>
      <w:r>
        <w:rPr>
          <w:rFonts w:ascii="Times New Roman" w:eastAsia="宋体" w:hAnsi="Times New Roman"/>
          <w:b/>
          <w:sz w:val="28"/>
          <w:szCs w:val="28"/>
        </w:rPr>
        <w:t>M</w:t>
      </w:r>
      <w:r w:rsidR="00FE1B65">
        <w:rPr>
          <w:rFonts w:ascii="Times New Roman" w:eastAsia="宋体" w:hAnsi="Times New Roman"/>
          <w:b/>
          <w:sz w:val="28"/>
          <w:szCs w:val="28"/>
        </w:rPr>
        <w:t xml:space="preserve">obility </w:t>
      </w:r>
    </w:p>
    <w:p w:rsidR="001554A1" w:rsidRDefault="00FE1B65">
      <w:pPr>
        <w:snapToGrid w:val="0"/>
        <w:spacing w:before="120" w:after="120" w:line="288" w:lineRule="auto"/>
        <w:rPr>
          <w:kern w:val="0"/>
          <w:sz w:val="20"/>
          <w:lang w:bidi="ar"/>
        </w:rPr>
      </w:pPr>
      <w:r>
        <w:rPr>
          <w:kern w:val="0"/>
          <w:sz w:val="20"/>
          <w:lang w:bidi="ar"/>
        </w:rPr>
        <w:lastRenderedPageBreak/>
        <w:t>In 5G</w:t>
      </w:r>
      <w:r>
        <w:rPr>
          <w:rFonts w:hint="eastAsia"/>
          <w:kern w:val="0"/>
          <w:sz w:val="20"/>
          <w:lang w:bidi="ar"/>
        </w:rPr>
        <w:t xml:space="preserve"> NR</w:t>
      </w:r>
      <w:r>
        <w:rPr>
          <w:kern w:val="0"/>
          <w:sz w:val="20"/>
          <w:lang w:bidi="ar"/>
        </w:rPr>
        <w:t xml:space="preserve"> Rel-15, mobility/handover is still performed according to L3 procedure, and then, in order to achieve handover (HO) interruption time of 0ms, advanced beam measurement and mobility (like </w:t>
      </w:r>
      <w:r>
        <w:rPr>
          <w:rFonts w:hint="eastAsia"/>
          <w:kern w:val="0"/>
          <w:sz w:val="20"/>
          <w:lang w:bidi="ar"/>
        </w:rPr>
        <w:t>Rel-17 inter-cell beam management (ICBM)</w:t>
      </w:r>
      <w:r>
        <w:rPr>
          <w:kern w:val="0"/>
          <w:sz w:val="20"/>
          <w:lang w:bidi="ar"/>
        </w:rPr>
        <w:t xml:space="preserve"> and </w:t>
      </w:r>
      <w:r>
        <w:rPr>
          <w:rFonts w:hint="eastAsia"/>
          <w:kern w:val="0"/>
          <w:sz w:val="20"/>
          <w:lang w:bidi="ar"/>
        </w:rPr>
        <w:t>Rel-18/19 L1/L2-triggered mobility (LTM)</w:t>
      </w:r>
      <w:r>
        <w:rPr>
          <w:kern w:val="0"/>
          <w:sz w:val="20"/>
          <w:lang w:bidi="ar"/>
        </w:rPr>
        <w:t xml:space="preserve">) are introduced.  </w:t>
      </w:r>
    </w:p>
    <w:p w:rsidR="001554A1" w:rsidRDefault="00FE1B65">
      <w:pPr>
        <w:numPr>
          <w:ilvl w:val="0"/>
          <w:numId w:val="17"/>
        </w:numPr>
        <w:snapToGrid w:val="0"/>
        <w:spacing w:beforeLines="0" w:before="120" w:afterLines="0" w:after="120" w:line="288" w:lineRule="auto"/>
        <w:rPr>
          <w:kern w:val="0"/>
          <w:sz w:val="20"/>
          <w:lang w:bidi="ar"/>
        </w:rPr>
      </w:pPr>
      <w:r>
        <w:rPr>
          <w:kern w:val="0"/>
          <w:sz w:val="20"/>
          <w:lang w:bidi="ar"/>
        </w:rPr>
        <w:t xml:space="preserve">Regarding Rel-17 ICBM, </w:t>
      </w:r>
      <w:r>
        <w:rPr>
          <w:rFonts w:hint="eastAsia"/>
          <w:kern w:val="0"/>
          <w:sz w:val="20"/>
          <w:lang w:bidi="ar"/>
        </w:rPr>
        <w:t xml:space="preserve">UE receiving or transmitting channel/signal from an additional PCI different with a serving cell PCI </w:t>
      </w:r>
      <w:r>
        <w:rPr>
          <w:kern w:val="0"/>
          <w:sz w:val="20"/>
          <w:lang w:bidi="ar"/>
        </w:rPr>
        <w:t xml:space="preserve">is introduced </w:t>
      </w:r>
      <w:r>
        <w:rPr>
          <w:rFonts w:hint="eastAsia"/>
          <w:kern w:val="0"/>
          <w:sz w:val="20"/>
          <w:lang w:bidi="ar"/>
        </w:rPr>
        <w:t>for improving user experience of cell-edge</w:t>
      </w:r>
      <w:r>
        <w:rPr>
          <w:kern w:val="0"/>
          <w:sz w:val="20"/>
          <w:lang w:bidi="ar"/>
        </w:rPr>
        <w:t>’</w:t>
      </w:r>
      <w:r>
        <w:rPr>
          <w:rFonts w:hint="eastAsia"/>
          <w:kern w:val="0"/>
          <w:sz w:val="20"/>
          <w:lang w:bidi="ar"/>
        </w:rPr>
        <w:t xml:space="preserve">s UEs. In order to support this feature, additional PCI is introduced in measurement configuration (provided by </w:t>
      </w:r>
      <w:r>
        <w:rPr>
          <w:rFonts w:hint="eastAsia"/>
          <w:i/>
          <w:iCs/>
          <w:kern w:val="0"/>
          <w:sz w:val="20"/>
          <w:lang w:bidi="ar"/>
        </w:rPr>
        <w:t>CSI-SSB-ResourceSet</w:t>
      </w:r>
      <w:r>
        <w:rPr>
          <w:rFonts w:hint="eastAsia"/>
          <w:kern w:val="0"/>
          <w:sz w:val="20"/>
          <w:lang w:bidi="ar"/>
        </w:rPr>
        <w:t xml:space="preserve"> in </w:t>
      </w:r>
      <w:r>
        <w:rPr>
          <w:rFonts w:hint="eastAsia"/>
          <w:i/>
          <w:iCs/>
          <w:kern w:val="0"/>
          <w:sz w:val="20"/>
          <w:lang w:bidi="ar"/>
        </w:rPr>
        <w:t>CSI-MeasConfig</w:t>
      </w:r>
      <w:r>
        <w:rPr>
          <w:rFonts w:hint="eastAsia"/>
          <w:kern w:val="0"/>
          <w:sz w:val="20"/>
          <w:lang w:bidi="ar"/>
        </w:rPr>
        <w:t xml:space="preserve">) associated with the serving cell to support measuring SSBs from additional PCIs. </w:t>
      </w:r>
    </w:p>
    <w:p w:rsidR="001554A1" w:rsidRDefault="00FE1B65">
      <w:pPr>
        <w:numPr>
          <w:ilvl w:val="0"/>
          <w:numId w:val="17"/>
        </w:numPr>
        <w:snapToGrid w:val="0"/>
        <w:spacing w:beforeLines="0" w:before="120" w:afterLines="0" w:after="120" w:line="288" w:lineRule="auto"/>
        <w:rPr>
          <w:kern w:val="0"/>
          <w:sz w:val="20"/>
          <w:lang w:bidi="ar"/>
        </w:rPr>
      </w:pPr>
      <w:r>
        <w:rPr>
          <w:kern w:val="0"/>
          <w:sz w:val="20"/>
          <w:lang w:bidi="ar"/>
        </w:rPr>
        <w:t>Then, as a further evolution, a</w:t>
      </w:r>
      <w:r>
        <w:rPr>
          <w:rFonts w:hint="eastAsia"/>
          <w:kern w:val="0"/>
          <w:sz w:val="20"/>
          <w:lang w:bidi="ar"/>
        </w:rPr>
        <w:t xml:space="preserve"> similar measurement configuration is also extended to candidate cells for Rel-18/19 L1/L2-triggered mobility (LTM), that is, a SSB/CSI-RS resource set is configured across candidate cells (note that serving cell is one of candidate cells) and each SSB/CSI-RS within the SSB/CSI-RS resource set is associated with a candidate cell.</w:t>
      </w:r>
    </w:p>
    <w:p w:rsidR="001554A1" w:rsidRDefault="00FE1B65">
      <w:pPr>
        <w:numPr>
          <w:ilvl w:val="0"/>
          <w:numId w:val="17"/>
        </w:numPr>
        <w:snapToGrid w:val="0"/>
        <w:spacing w:beforeLines="0" w:before="120" w:afterLines="0" w:after="120" w:line="288" w:lineRule="auto"/>
        <w:rPr>
          <w:kern w:val="0"/>
          <w:sz w:val="20"/>
          <w:lang w:bidi="ar"/>
        </w:rPr>
      </w:pPr>
      <w:r>
        <w:rPr>
          <w:kern w:val="0"/>
          <w:sz w:val="20"/>
          <w:lang w:bidi="ar"/>
        </w:rPr>
        <w:t>After that, in</w:t>
      </w:r>
      <w:r>
        <w:rPr>
          <w:rFonts w:hint="eastAsia"/>
          <w:kern w:val="0"/>
          <w:sz w:val="20"/>
          <w:lang w:bidi="ar"/>
        </w:rPr>
        <w:t xml:space="preserve"> 5G Rel-19 MIMO, UE-initiated/event-driven beam reporting was supported to reduce measurement reporting overhead in intra-/inter-cell beam management and perform fast beam update or switching, e.g., define beam based event-1/2/7 and corresponding event detection and reporting mechanism. In the same release, LTM also defines a similar event-based beam reporting mechanism for cell handover.</w:t>
      </w:r>
    </w:p>
    <w:p w:rsidR="001554A1" w:rsidRDefault="00FE1B65">
      <w:pPr>
        <w:snapToGrid w:val="0"/>
        <w:spacing w:before="120" w:after="120" w:line="288" w:lineRule="auto"/>
        <w:rPr>
          <w:sz w:val="20"/>
          <w:lang w:bidi="ar"/>
        </w:rPr>
      </w:pPr>
      <w:r>
        <w:rPr>
          <w:rFonts w:hint="eastAsia"/>
          <w:kern w:val="0"/>
          <w:sz w:val="20"/>
          <w:lang w:bidi="ar"/>
        </w:rPr>
        <w:t xml:space="preserve">Besides, we also notice lots of design commonalities between NW-triggered beam reporting and UE/event-triggered beam reporting for beam management and mobility, e.g., differential L1-RSRP reporting format.  </w:t>
      </w:r>
    </w:p>
    <w:p w:rsidR="001554A1" w:rsidRPr="00FC26E7" w:rsidRDefault="00FE1B65">
      <w:pPr>
        <w:snapToGrid w:val="0"/>
        <w:spacing w:before="120" w:after="120" w:line="288" w:lineRule="auto"/>
        <w:rPr>
          <w:kern w:val="0"/>
          <w:sz w:val="20"/>
          <w:lang w:bidi="ar"/>
        </w:rPr>
      </w:pPr>
      <w:r>
        <w:rPr>
          <w:rFonts w:hint="eastAsia"/>
          <w:kern w:val="0"/>
          <w:sz w:val="20"/>
          <w:lang w:bidi="ar"/>
        </w:rPr>
        <w:t xml:space="preserve">From the evolution </w:t>
      </w:r>
      <w:r w:rsidRPr="000C1E7B">
        <w:rPr>
          <w:rFonts w:hint="eastAsia"/>
          <w:kern w:val="0"/>
          <w:sz w:val="20"/>
          <w:lang w:bidi="ar"/>
        </w:rPr>
        <w:t xml:space="preserve">routes of the aforementioned 5G releases, LTM and beam management are moving toward gradual convergence. </w:t>
      </w:r>
      <w:r w:rsidRPr="00193851">
        <w:rPr>
          <w:kern w:val="0"/>
          <w:sz w:val="20"/>
          <w:lang w:bidi="ar"/>
        </w:rPr>
        <w:t>This trend provides an important feasibility justification for 6G</w:t>
      </w:r>
      <w:r w:rsidRPr="00193851">
        <w:rPr>
          <w:rFonts w:hint="eastAsia"/>
          <w:kern w:val="0"/>
          <w:sz w:val="20"/>
          <w:lang w:bidi="ar"/>
        </w:rPr>
        <w:t>R</w:t>
      </w:r>
      <w:r w:rsidRPr="00193851">
        <w:rPr>
          <w:kern w:val="0"/>
          <w:sz w:val="20"/>
          <w:lang w:bidi="ar"/>
        </w:rPr>
        <w:t xml:space="preserve"> to design a unified measurement and reporting framework</w:t>
      </w:r>
      <w:r w:rsidRPr="0098179C">
        <w:rPr>
          <w:rFonts w:hint="eastAsia"/>
          <w:kern w:val="0"/>
          <w:sz w:val="20"/>
          <w:lang w:bidi="ar"/>
        </w:rPr>
        <w:t xml:space="preserve"> </w:t>
      </w:r>
      <w:r w:rsidRPr="0098179C">
        <w:rPr>
          <w:kern w:val="0"/>
          <w:sz w:val="20"/>
          <w:lang w:bidi="ar"/>
        </w:rPr>
        <w:t>for</w:t>
      </w:r>
      <w:r w:rsidRPr="0098179C">
        <w:rPr>
          <w:rFonts w:hint="eastAsia"/>
          <w:kern w:val="0"/>
          <w:sz w:val="20"/>
          <w:lang w:bidi="ar"/>
        </w:rPr>
        <w:t xml:space="preserve"> intra-cell cluster</w:t>
      </w:r>
      <w:r w:rsidRPr="0098179C">
        <w:rPr>
          <w:kern w:val="0"/>
          <w:sz w:val="20"/>
          <w:lang w:bidi="ar"/>
        </w:rPr>
        <w:t xml:space="preserve"> </w:t>
      </w:r>
      <w:r w:rsidRPr="00076FF8">
        <w:rPr>
          <w:rFonts w:hint="eastAsia"/>
          <w:kern w:val="0"/>
          <w:sz w:val="20"/>
          <w:lang w:bidi="ar"/>
        </w:rPr>
        <w:t>inter</w:t>
      </w:r>
      <w:r w:rsidRPr="00076FF8">
        <w:rPr>
          <w:kern w:val="0"/>
          <w:sz w:val="20"/>
          <w:lang w:bidi="ar"/>
        </w:rPr>
        <w:t>-TRP beam management</w:t>
      </w:r>
      <w:r w:rsidRPr="008F338F">
        <w:rPr>
          <w:rFonts w:hint="eastAsia"/>
          <w:kern w:val="0"/>
          <w:sz w:val="20"/>
          <w:lang w:bidi="ar"/>
        </w:rPr>
        <w:t xml:space="preserve"> (as shown in </w:t>
      </w:r>
      <w:r w:rsidRPr="00BA0E2D">
        <w:rPr>
          <w:rFonts w:hint="eastAsia"/>
          <w:kern w:val="0"/>
          <w:sz w:val="20"/>
          <w:lang w:bidi="ar"/>
        </w:rPr>
        <w:t>Figure</w:t>
      </w:r>
      <w:r w:rsidR="00993935" w:rsidRPr="00BA0E2D">
        <w:rPr>
          <w:kern w:val="0"/>
          <w:sz w:val="20"/>
          <w:lang w:bidi="ar"/>
        </w:rPr>
        <w:t xml:space="preserve"> 5-1</w:t>
      </w:r>
      <w:r w:rsidRPr="000C1E7B">
        <w:rPr>
          <w:rFonts w:hint="eastAsia"/>
          <w:kern w:val="0"/>
          <w:sz w:val="20"/>
          <w:lang w:bidi="ar"/>
        </w:rPr>
        <w:t>)</w:t>
      </w:r>
      <w:r w:rsidRPr="000C1E7B">
        <w:rPr>
          <w:kern w:val="0"/>
          <w:sz w:val="20"/>
          <w:lang w:bidi="ar"/>
        </w:rPr>
        <w:t xml:space="preserve"> and </w:t>
      </w:r>
      <w:r w:rsidRPr="000C1E7B">
        <w:rPr>
          <w:rFonts w:hint="eastAsia"/>
          <w:kern w:val="0"/>
          <w:sz w:val="20"/>
          <w:lang w:bidi="ar"/>
        </w:rPr>
        <w:t xml:space="preserve">inter-cell cluster handover (as shown in </w:t>
      </w:r>
      <w:r w:rsidRPr="00BA0E2D">
        <w:rPr>
          <w:rFonts w:hint="eastAsia"/>
          <w:kern w:val="0"/>
          <w:sz w:val="20"/>
          <w:lang w:bidi="ar"/>
        </w:rPr>
        <w:t xml:space="preserve">Figure </w:t>
      </w:r>
      <w:r w:rsidR="00993935" w:rsidRPr="00BA0E2D">
        <w:rPr>
          <w:kern w:val="0"/>
          <w:sz w:val="20"/>
          <w:lang w:bidi="ar"/>
        </w:rPr>
        <w:t>5-2</w:t>
      </w:r>
      <w:r w:rsidRPr="000C1E7B">
        <w:rPr>
          <w:rFonts w:hint="eastAsia"/>
          <w:kern w:val="0"/>
          <w:sz w:val="20"/>
          <w:lang w:bidi="ar"/>
        </w:rPr>
        <w:t>)</w:t>
      </w:r>
      <w:r w:rsidRPr="000C1E7B">
        <w:rPr>
          <w:kern w:val="0"/>
          <w:sz w:val="20"/>
          <w:lang w:bidi="ar"/>
        </w:rPr>
        <w:t>.</w:t>
      </w:r>
      <w:r w:rsidRPr="000C1E7B">
        <w:rPr>
          <w:rFonts w:hint="eastAsia"/>
          <w:kern w:val="0"/>
          <w:sz w:val="20"/>
          <w:lang w:bidi="ar"/>
        </w:rPr>
        <w:t xml:space="preserve"> </w:t>
      </w:r>
    </w:p>
    <w:p w:rsidR="001554A1" w:rsidRPr="006C5C94" w:rsidRDefault="00FE1B65">
      <w:pPr>
        <w:snapToGrid w:val="0"/>
        <w:spacing w:before="120" w:after="120" w:line="288" w:lineRule="auto"/>
        <w:rPr>
          <w:sz w:val="20"/>
          <w:lang w:bidi="ar"/>
        </w:rPr>
      </w:pPr>
      <w:r w:rsidRPr="00193851">
        <w:rPr>
          <w:rFonts w:hint="eastAsia"/>
          <w:kern w:val="0"/>
          <w:sz w:val="20"/>
          <w:lang w:bidi="ar"/>
        </w:rPr>
        <w:t xml:space="preserve">Note that whether to design a unified measurement and reporting configuration for </w:t>
      </w:r>
      <w:r w:rsidRPr="0098179C">
        <w:rPr>
          <w:rFonts w:hint="eastAsia"/>
          <w:kern w:val="0"/>
          <w:sz w:val="20"/>
          <w:lang w:bidi="ar"/>
        </w:rPr>
        <w:t xml:space="preserve">L1 beam measurement and L3 RRM measurement needs </w:t>
      </w:r>
      <w:r w:rsidRPr="002815AB">
        <w:rPr>
          <w:rFonts w:hint="eastAsia"/>
          <w:kern w:val="0"/>
          <w:sz w:val="20"/>
          <w:lang w:bidi="ar"/>
        </w:rPr>
        <w:t xml:space="preserve">to </w:t>
      </w:r>
      <w:r w:rsidRPr="00797447">
        <w:rPr>
          <w:rFonts w:hint="eastAsia"/>
          <w:kern w:val="0"/>
          <w:sz w:val="20"/>
          <w:lang w:bidi="ar"/>
        </w:rPr>
        <w:t xml:space="preserve">be done in </w:t>
      </w:r>
      <w:r w:rsidRPr="00DA673C">
        <w:rPr>
          <w:rFonts w:hint="eastAsia"/>
          <w:kern w:val="0"/>
          <w:sz w:val="20"/>
          <w:lang w:bidi="ar"/>
        </w:rPr>
        <w:t>close coordination</w:t>
      </w:r>
      <w:r w:rsidRPr="006C5C94">
        <w:rPr>
          <w:rFonts w:hint="eastAsia"/>
          <w:kern w:val="0"/>
          <w:sz w:val="20"/>
          <w:lang w:bidi="ar"/>
        </w:rPr>
        <w:t xml:space="preserve"> with RAN2.</w:t>
      </w:r>
    </w:p>
    <w:p w:rsidR="001554A1" w:rsidRPr="000C1E7B" w:rsidRDefault="00FE1B65">
      <w:pPr>
        <w:snapToGrid w:val="0"/>
        <w:spacing w:before="120" w:after="120" w:line="288" w:lineRule="auto"/>
        <w:rPr>
          <w:sz w:val="20"/>
          <w:lang w:bidi="ar"/>
        </w:rPr>
      </w:pPr>
      <w:r w:rsidRPr="000C1E7B">
        <w:rPr>
          <w:kern w:val="0"/>
          <w:sz w:val="20"/>
          <w:lang w:bidi="ar"/>
        </w:rPr>
        <w:object w:dxaOrig="3061" w:dyaOrig="2484">
          <v:shape id="_x0000_i1027" type="#_x0000_t75" style="width:153.2pt;height:123.95pt" o:ole="">
            <v:imagedata r:id="rId24" o:title=""/>
          </v:shape>
          <o:OLEObject Type="Embed" ProgID="Visio.Drawing.15" ShapeID="_x0000_i1027" DrawAspect="Content" ObjectID="_1831299827" r:id="rId25"/>
        </w:object>
      </w:r>
      <w:r w:rsidRPr="000C1E7B">
        <w:rPr>
          <w:rFonts w:hint="eastAsia"/>
          <w:kern w:val="0"/>
          <w:sz w:val="20"/>
          <w:lang w:bidi="ar"/>
        </w:rPr>
        <w:t xml:space="preserve">             </w:t>
      </w:r>
      <w:r w:rsidRPr="000C1E7B">
        <w:object w:dxaOrig="4989" w:dyaOrig="2360">
          <v:shape id="_x0000_i1028" type="#_x0000_t75" style="width:249.2pt;height:118.25pt" o:ole="">
            <v:imagedata r:id="rId26" o:title=""/>
          </v:shape>
          <o:OLEObject Type="Embed" ProgID="Visio.Drawing.15" ShapeID="_x0000_i1028" DrawAspect="Content" ObjectID="_1831299828" r:id="rId27"/>
        </w:object>
      </w:r>
    </w:p>
    <w:p w:rsidR="001554A1" w:rsidRPr="00993935" w:rsidRDefault="00FE1B65">
      <w:pPr>
        <w:snapToGrid w:val="0"/>
        <w:spacing w:before="120" w:after="120" w:line="288" w:lineRule="auto"/>
        <w:ind w:firstLineChars="400" w:firstLine="800"/>
        <w:rPr>
          <w:kern w:val="0"/>
          <w:sz w:val="20"/>
          <w:lang w:bidi="ar"/>
        </w:rPr>
      </w:pPr>
      <w:r w:rsidRPr="00BA0E2D">
        <w:rPr>
          <w:rFonts w:hint="eastAsia"/>
          <w:bCs/>
          <w:kern w:val="0"/>
          <w:sz w:val="20"/>
          <w:lang w:bidi="ar"/>
        </w:rPr>
        <w:t>Figure</w:t>
      </w:r>
      <w:r w:rsidR="00993935" w:rsidRPr="00BA0E2D">
        <w:rPr>
          <w:bCs/>
          <w:kern w:val="0"/>
          <w:sz w:val="20"/>
          <w:lang w:bidi="ar"/>
        </w:rPr>
        <w:t xml:space="preserve"> 5-1</w:t>
      </w:r>
      <w:r w:rsidRPr="000C1E7B">
        <w:rPr>
          <w:rFonts w:hint="eastAsia"/>
          <w:kern w:val="0"/>
          <w:sz w:val="20"/>
          <w:lang w:bidi="ar"/>
        </w:rPr>
        <w:t xml:space="preserve"> Intra-cell cluster inter-TRP BM            </w:t>
      </w:r>
      <w:r w:rsidRPr="00BA0E2D">
        <w:rPr>
          <w:rFonts w:hint="eastAsia"/>
          <w:bCs/>
          <w:kern w:val="0"/>
          <w:sz w:val="20"/>
          <w:lang w:bidi="ar"/>
        </w:rPr>
        <w:t>Figure</w:t>
      </w:r>
      <w:r w:rsidR="00993935" w:rsidRPr="00BA0E2D">
        <w:rPr>
          <w:bCs/>
          <w:kern w:val="0"/>
          <w:sz w:val="20"/>
          <w:lang w:bidi="ar"/>
        </w:rPr>
        <w:t xml:space="preserve"> 5-2</w:t>
      </w:r>
      <w:r w:rsidRPr="000C1E7B">
        <w:rPr>
          <w:rFonts w:hint="eastAsia"/>
          <w:kern w:val="0"/>
          <w:sz w:val="20"/>
          <w:lang w:bidi="ar"/>
        </w:rPr>
        <w:t xml:space="preserve"> Inter-cell cluster handover</w:t>
      </w:r>
    </w:p>
    <w:p w:rsidR="001554A1" w:rsidRDefault="00FE1B65">
      <w:pPr>
        <w:snapToGrid w:val="0"/>
        <w:spacing w:before="120" w:after="120"/>
        <w:rPr>
          <w:bCs/>
          <w:i/>
          <w:sz w:val="20"/>
        </w:rPr>
      </w:pPr>
      <w:r w:rsidRPr="00BA0E2D">
        <w:rPr>
          <w:b/>
          <w:i/>
          <w:sz w:val="20"/>
          <w:lang w:bidi="ar"/>
        </w:rPr>
        <w:t xml:space="preserve">Proposal </w:t>
      </w:r>
      <w:r w:rsidRPr="00BA0E2D">
        <w:rPr>
          <w:rFonts w:hint="eastAsia"/>
          <w:b/>
          <w:i/>
          <w:sz w:val="20"/>
          <w:lang w:bidi="ar"/>
        </w:rPr>
        <w:t>17</w:t>
      </w:r>
      <w:r w:rsidRPr="00BA0E2D">
        <w:rPr>
          <w:b/>
          <w:i/>
          <w:sz w:val="20"/>
          <w:lang w:bidi="ar"/>
        </w:rPr>
        <w:t>:</w:t>
      </w:r>
      <w:r w:rsidRPr="000C1E7B">
        <w:rPr>
          <w:bCs/>
          <w:i/>
          <w:sz w:val="20"/>
          <w:lang w:bidi="ar"/>
        </w:rPr>
        <w:t xml:space="preserve"> </w:t>
      </w:r>
      <w:r w:rsidRPr="000C1E7B">
        <w:rPr>
          <w:rFonts w:hint="eastAsia"/>
          <w:bCs/>
          <w:i/>
          <w:sz w:val="20"/>
          <w:lang w:bidi="ar"/>
        </w:rPr>
        <w:t>In 6G</w:t>
      </w:r>
      <w:r w:rsidRPr="000C1E7B">
        <w:rPr>
          <w:bCs/>
          <w:i/>
          <w:sz w:val="20"/>
          <w:lang w:bidi="ar"/>
        </w:rPr>
        <w:t xml:space="preserve"> day-1</w:t>
      </w:r>
      <w:r w:rsidRPr="000C1E7B">
        <w:rPr>
          <w:rFonts w:hint="eastAsia"/>
          <w:bCs/>
          <w:i/>
          <w:sz w:val="20"/>
          <w:lang w:bidi="ar"/>
        </w:rPr>
        <w:t>,</w:t>
      </w:r>
      <w:r w:rsidRPr="000C1E7B">
        <w:rPr>
          <w:bCs/>
          <w:i/>
          <w:sz w:val="20"/>
          <w:lang w:bidi="ar"/>
        </w:rPr>
        <w:t xml:space="preserve"> L1/L2-triggered </w:t>
      </w:r>
      <w:r w:rsidRPr="000C1E7B">
        <w:rPr>
          <w:rFonts w:hint="eastAsia"/>
          <w:bCs/>
          <w:i/>
          <w:sz w:val="20"/>
          <w:lang w:bidi="ar"/>
        </w:rPr>
        <w:t>measurement</w:t>
      </w:r>
      <w:r w:rsidRPr="00FC26E7">
        <w:rPr>
          <w:bCs/>
          <w:i/>
          <w:sz w:val="20"/>
          <w:lang w:bidi="ar"/>
        </w:rPr>
        <w:t xml:space="preserve">, </w:t>
      </w:r>
      <w:r w:rsidRPr="00FC26E7">
        <w:rPr>
          <w:rFonts w:hint="eastAsia"/>
          <w:bCs/>
          <w:i/>
          <w:sz w:val="20"/>
          <w:lang w:bidi="ar"/>
        </w:rPr>
        <w:t xml:space="preserve">reporting </w:t>
      </w:r>
      <w:r w:rsidRPr="00FC26E7">
        <w:rPr>
          <w:bCs/>
          <w:i/>
          <w:sz w:val="20"/>
          <w:lang w:bidi="ar"/>
        </w:rPr>
        <w:t xml:space="preserve">and indication/switching </w:t>
      </w:r>
      <w:r w:rsidRPr="00FC26E7">
        <w:rPr>
          <w:rFonts w:hint="eastAsia"/>
          <w:bCs/>
          <w:i/>
          <w:sz w:val="20"/>
          <w:lang w:bidi="ar"/>
        </w:rPr>
        <w:t xml:space="preserve">framework </w:t>
      </w:r>
      <w:r w:rsidRPr="00FC26E7">
        <w:rPr>
          <w:bCs/>
          <w:i/>
          <w:sz w:val="20"/>
          <w:lang w:bidi="ar"/>
        </w:rPr>
        <w:t xml:space="preserve">unifying both ‘beam management and TRP operation under a cell cluster’ and ‘L1/L2-triggering mobility among cell-clusters’ </w:t>
      </w:r>
      <w:r w:rsidRPr="00193851">
        <w:rPr>
          <w:rFonts w:hint="eastAsia"/>
          <w:bCs/>
          <w:i/>
          <w:sz w:val="20"/>
          <w:lang w:bidi="ar"/>
        </w:rPr>
        <w:t>should be supported to accommodate inter-TRP</w:t>
      </w:r>
      <w:r w:rsidRPr="002815AB">
        <w:rPr>
          <w:bCs/>
          <w:i/>
          <w:sz w:val="20"/>
          <w:lang w:bidi="ar"/>
        </w:rPr>
        <w:t xml:space="preserve"> operation</w:t>
      </w:r>
      <w:r w:rsidRPr="00797447">
        <w:rPr>
          <w:rFonts w:hint="eastAsia"/>
          <w:bCs/>
          <w:i/>
          <w:sz w:val="20"/>
          <w:lang w:bidi="ar"/>
        </w:rPr>
        <w:t xml:space="preserve"> within a cell cluster beam management and inter-cell cluster handover.</w:t>
      </w:r>
      <w:r>
        <w:rPr>
          <w:bCs/>
          <w:i/>
          <w:sz w:val="20"/>
          <w:lang w:bidi="ar"/>
        </w:rPr>
        <w:t xml:space="preserve"> </w:t>
      </w:r>
    </w:p>
    <w:p w:rsidR="001554A1" w:rsidRDefault="00FE1B65">
      <w:pPr>
        <w:snapToGrid w:val="0"/>
        <w:spacing w:before="120" w:after="120" w:line="288" w:lineRule="auto"/>
        <w:rPr>
          <w:sz w:val="20"/>
          <w:lang w:bidi="ar"/>
        </w:rPr>
      </w:pPr>
      <w:r>
        <w:rPr>
          <w:rFonts w:hint="eastAsia"/>
          <w:kern w:val="0"/>
          <w:sz w:val="20"/>
          <w:lang w:bidi="ar"/>
        </w:rPr>
        <w:t xml:space="preserve">For intra-cell cluster inter-TRP beam management, </w:t>
      </w:r>
      <w:r>
        <w:rPr>
          <w:sz w:val="20"/>
          <w:lang w:bidi="ar"/>
        </w:rPr>
        <w:t>5G</w:t>
      </w:r>
      <w:r>
        <w:rPr>
          <w:rFonts w:hint="eastAsia"/>
          <w:sz w:val="20"/>
          <w:lang w:bidi="ar"/>
        </w:rPr>
        <w:t xml:space="preserve"> NR</w:t>
      </w:r>
      <w:r>
        <w:rPr>
          <w:sz w:val="20"/>
          <w:lang w:bidi="ar"/>
        </w:rPr>
        <w:t xml:space="preserve"> Rel-17 inter-cell beam management (ICBM) can be used as a starting point, that is, inter-TRP switching can be achieved by L1/L2-level beam switching (e.g., unified TCI). Specifically, a RS resource set is configured across TRPs within a cell-cluster and each </w:t>
      </w:r>
      <w:r>
        <w:rPr>
          <w:rFonts w:hint="eastAsia"/>
          <w:sz w:val="20"/>
          <w:lang w:bidi="ar"/>
        </w:rPr>
        <w:t>RS within</w:t>
      </w:r>
      <w:r>
        <w:rPr>
          <w:sz w:val="20"/>
          <w:lang w:bidi="ar"/>
        </w:rPr>
        <w:t xml:space="preserve"> the RS resource set is associated with a TRP within the cell-cluster. TRP ID within a cell-cluster can be explicitly or implicitly included in a unified TCI state, e.g., like additionalPCI in Rel-17 ICBM.</w:t>
      </w:r>
    </w:p>
    <w:p w:rsidR="001554A1" w:rsidRDefault="00FE1B65">
      <w:pPr>
        <w:snapToGrid w:val="0"/>
        <w:spacing w:before="120" w:after="120" w:line="288" w:lineRule="auto"/>
        <w:rPr>
          <w:sz w:val="20"/>
          <w:lang w:bidi="ar"/>
        </w:rPr>
      </w:pPr>
      <w:r>
        <w:rPr>
          <w:sz w:val="20"/>
          <w:lang w:bidi="ar"/>
        </w:rPr>
        <w:lastRenderedPageBreak/>
        <w:t>For inter-cell cluster handover, Rel-18/19 LTM can be considered as baseline, e.g., inter-cell cluster switching can be triggered by cell-cluster switching command signaling (MAC CE) and</w:t>
      </w:r>
      <w:r>
        <w:rPr>
          <w:rFonts w:hint="eastAsia"/>
          <w:sz w:val="20"/>
          <w:lang w:bidi="ar"/>
        </w:rPr>
        <w:t xml:space="preserve"> study aspects related to inter-cell cluster handover</w:t>
      </w:r>
      <w:r>
        <w:rPr>
          <w:sz w:val="20"/>
          <w:lang w:bidi="ar"/>
        </w:rPr>
        <w:t>: RRC</w:t>
      </w:r>
      <w:r>
        <w:rPr>
          <w:rFonts w:hint="eastAsia"/>
          <w:sz w:val="20"/>
          <w:lang w:bidi="ar"/>
        </w:rPr>
        <w:t xml:space="preserve"> based</w:t>
      </w:r>
      <w:r>
        <w:rPr>
          <w:sz w:val="20"/>
          <w:lang w:bidi="ar"/>
        </w:rPr>
        <w:t xml:space="preserve"> pre-configuration</w:t>
      </w:r>
      <w:r>
        <w:rPr>
          <w:rFonts w:hint="eastAsia"/>
          <w:sz w:val="20"/>
          <w:lang w:bidi="ar"/>
        </w:rPr>
        <w:t xml:space="preserve"> information </w:t>
      </w:r>
      <w:r>
        <w:rPr>
          <w:sz w:val="20"/>
          <w:lang w:bidi="ar"/>
        </w:rPr>
        <w:t>(e.g., a list of candidate cell-cluster, RS measurement for BM, CSI reporting, TCI state, etc), early DL</w:t>
      </w:r>
      <w:r>
        <w:rPr>
          <w:rFonts w:hint="eastAsia"/>
          <w:sz w:val="20"/>
          <w:lang w:bidi="ar"/>
        </w:rPr>
        <w:t>/UL</w:t>
      </w:r>
      <w:r>
        <w:rPr>
          <w:sz w:val="20"/>
          <w:lang w:bidi="ar"/>
        </w:rPr>
        <w:t xml:space="preserve"> sync, early TCI state activation/indication</w:t>
      </w:r>
      <w:r>
        <w:rPr>
          <w:rFonts w:hint="eastAsia"/>
          <w:sz w:val="20"/>
          <w:lang w:bidi="ar"/>
        </w:rPr>
        <w:t xml:space="preserve"> or early CSI acquisition</w:t>
      </w:r>
      <w:r>
        <w:rPr>
          <w:sz w:val="20"/>
          <w:lang w:bidi="ar"/>
        </w:rPr>
        <w:t>.</w:t>
      </w:r>
      <w:r>
        <w:rPr>
          <w:rFonts w:hint="eastAsia"/>
          <w:sz w:val="20"/>
          <w:lang w:bidi="ar"/>
        </w:rPr>
        <w:t xml:space="preserve"> Note that more details can be found in our companion contributions </w:t>
      </w:r>
      <w:r w:rsidR="00ED2674" w:rsidRPr="00BA0E2D">
        <w:rPr>
          <w:sz w:val="20"/>
          <w:lang w:bidi="ar"/>
        </w:rPr>
        <w:fldChar w:fldCharType="begin"/>
      </w:r>
      <w:r w:rsidR="00ED2674" w:rsidRPr="00BA0E2D">
        <w:rPr>
          <w:sz w:val="20"/>
          <w:lang w:bidi="ar"/>
        </w:rPr>
        <w:instrText xml:space="preserve"> </w:instrText>
      </w:r>
      <w:r w:rsidR="00ED2674" w:rsidRPr="00BA0E2D">
        <w:rPr>
          <w:rFonts w:hint="eastAsia"/>
          <w:sz w:val="20"/>
          <w:lang w:bidi="ar"/>
        </w:rPr>
        <w:instrText>REF _Ref220599193 \r \h</w:instrText>
      </w:r>
      <w:r w:rsidR="00ED2674" w:rsidRPr="00BA0E2D">
        <w:rPr>
          <w:sz w:val="20"/>
          <w:lang w:bidi="ar"/>
        </w:rPr>
        <w:instrText xml:space="preserve"> </w:instrText>
      </w:r>
      <w:r w:rsidR="00FC26E7">
        <w:rPr>
          <w:sz w:val="20"/>
          <w:lang w:bidi="ar"/>
        </w:rPr>
        <w:instrText xml:space="preserve"> \* MERGEFORMAT </w:instrText>
      </w:r>
      <w:r w:rsidR="00ED2674" w:rsidRPr="00BA0E2D">
        <w:rPr>
          <w:sz w:val="20"/>
          <w:lang w:bidi="ar"/>
        </w:rPr>
      </w:r>
      <w:r w:rsidR="00ED2674" w:rsidRPr="00BA0E2D">
        <w:rPr>
          <w:sz w:val="20"/>
          <w:lang w:bidi="ar"/>
        </w:rPr>
        <w:fldChar w:fldCharType="separate"/>
      </w:r>
      <w:r w:rsidR="00ED2674" w:rsidRPr="00BA0E2D">
        <w:rPr>
          <w:sz w:val="20"/>
          <w:lang w:bidi="ar"/>
        </w:rPr>
        <w:t>[12]</w:t>
      </w:r>
      <w:r w:rsidR="00ED2674" w:rsidRPr="00BA0E2D">
        <w:rPr>
          <w:sz w:val="20"/>
          <w:lang w:bidi="ar"/>
        </w:rPr>
        <w:fldChar w:fldCharType="end"/>
      </w:r>
      <w:r w:rsidR="00ED2674" w:rsidRPr="00BA0E2D">
        <w:rPr>
          <w:sz w:val="20"/>
          <w:lang w:bidi="ar"/>
        </w:rPr>
        <w:fldChar w:fldCharType="begin"/>
      </w:r>
      <w:r w:rsidR="00ED2674" w:rsidRPr="00BA0E2D">
        <w:rPr>
          <w:sz w:val="20"/>
          <w:lang w:bidi="ar"/>
        </w:rPr>
        <w:instrText xml:space="preserve"> REF _Ref220599194 \r \h </w:instrText>
      </w:r>
      <w:r w:rsidR="00FC26E7">
        <w:rPr>
          <w:sz w:val="20"/>
          <w:lang w:bidi="ar"/>
        </w:rPr>
        <w:instrText xml:space="preserve"> \* MERGEFORMAT </w:instrText>
      </w:r>
      <w:r w:rsidR="00ED2674" w:rsidRPr="00BA0E2D">
        <w:rPr>
          <w:sz w:val="20"/>
          <w:lang w:bidi="ar"/>
        </w:rPr>
      </w:r>
      <w:r w:rsidR="00ED2674" w:rsidRPr="00BA0E2D">
        <w:rPr>
          <w:sz w:val="20"/>
          <w:lang w:bidi="ar"/>
        </w:rPr>
        <w:fldChar w:fldCharType="separate"/>
      </w:r>
      <w:r w:rsidR="00ED2674" w:rsidRPr="00BA0E2D">
        <w:rPr>
          <w:sz w:val="20"/>
          <w:lang w:bidi="ar"/>
        </w:rPr>
        <w:t>[13]</w:t>
      </w:r>
      <w:r w:rsidR="00ED2674" w:rsidRPr="00BA0E2D">
        <w:rPr>
          <w:sz w:val="20"/>
          <w:lang w:bidi="ar"/>
        </w:rPr>
        <w:fldChar w:fldCharType="end"/>
      </w:r>
      <w:r w:rsidRPr="00FC26E7">
        <w:rPr>
          <w:rFonts w:hint="eastAsia"/>
          <w:sz w:val="20"/>
          <w:lang w:bidi="ar"/>
        </w:rPr>
        <w:t>.</w:t>
      </w:r>
    </w:p>
    <w:p w:rsidR="00517384" w:rsidRPr="00BA0E2D" w:rsidRDefault="00517384" w:rsidP="00517384">
      <w:pPr>
        <w:snapToGrid w:val="0"/>
        <w:spacing w:before="120" w:after="120"/>
        <w:rPr>
          <w:bCs/>
          <w:i/>
          <w:sz w:val="20"/>
          <w:lang w:bidi="ar"/>
        </w:rPr>
      </w:pPr>
      <w:r w:rsidRPr="00BA0E2D">
        <w:rPr>
          <w:b/>
          <w:i/>
          <w:sz w:val="20"/>
          <w:lang w:bidi="ar"/>
        </w:rPr>
        <w:t xml:space="preserve">Proposal </w:t>
      </w:r>
      <w:r w:rsidRPr="00BA0E2D">
        <w:rPr>
          <w:rFonts w:hint="eastAsia"/>
          <w:b/>
          <w:i/>
          <w:sz w:val="20"/>
          <w:lang w:bidi="ar"/>
        </w:rPr>
        <w:t>1</w:t>
      </w:r>
      <w:r w:rsidRPr="00BA0E2D">
        <w:rPr>
          <w:b/>
          <w:i/>
          <w:sz w:val="20"/>
          <w:lang w:bidi="ar"/>
        </w:rPr>
        <w:t>8:</w:t>
      </w:r>
      <w:r w:rsidRPr="00517384">
        <w:rPr>
          <w:bCs/>
          <w:i/>
          <w:sz w:val="20"/>
          <w:lang w:bidi="ar"/>
        </w:rPr>
        <w:t xml:space="preserve"> </w:t>
      </w:r>
      <w:r w:rsidRPr="00517384">
        <w:rPr>
          <w:rFonts w:hint="eastAsia"/>
          <w:bCs/>
          <w:i/>
          <w:sz w:val="20"/>
          <w:lang w:bidi="ar"/>
        </w:rPr>
        <w:t xml:space="preserve">For inter-cell cluster handover in 6GR, </w:t>
      </w:r>
    </w:p>
    <w:p w:rsidR="00517384" w:rsidRPr="00BA0E2D" w:rsidRDefault="002B36FE" w:rsidP="00517384">
      <w:pPr>
        <w:numPr>
          <w:ilvl w:val="0"/>
          <w:numId w:val="18"/>
        </w:numPr>
        <w:snapToGrid w:val="0"/>
        <w:spacing w:beforeLines="0" w:before="120" w:afterLines="0" w:after="120" w:line="240" w:lineRule="exact"/>
        <w:textAlignment w:val="center"/>
        <w:rPr>
          <w:bCs/>
          <w:i/>
          <w:sz w:val="20"/>
          <w:lang w:bidi="ar"/>
        </w:rPr>
      </w:pPr>
      <w:r>
        <w:rPr>
          <w:bCs/>
          <w:i/>
          <w:sz w:val="20"/>
          <w:lang w:bidi="ar"/>
        </w:rPr>
        <w:t>S</w:t>
      </w:r>
      <w:r w:rsidR="00517384" w:rsidRPr="00BA0E2D">
        <w:rPr>
          <w:rFonts w:hint="eastAsia"/>
          <w:bCs/>
          <w:i/>
          <w:sz w:val="20"/>
          <w:lang w:bidi="ar"/>
        </w:rPr>
        <w:t xml:space="preserve">tudy aspects related to inter-cell cluster handover, e.g., RRC based pre-configuration, early DL/UL sync, early TCI state activation, early CSI acquisition, etc. </w:t>
      </w:r>
    </w:p>
    <w:p w:rsidR="001554A1" w:rsidRDefault="00FE1B6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1554A1" w:rsidRDefault="00FE1B65">
      <w:pPr>
        <w:spacing w:before="120" w:after="120"/>
      </w:pPr>
      <w:r>
        <w:rPr>
          <w:bCs/>
          <w:iCs/>
          <w:sz w:val="20"/>
          <w:szCs w:val="18"/>
        </w:rPr>
        <w:t xml:space="preserve">In this contribution, our views on synchronization signal/channel along with details on other aspects are highlighted with following observations and proposals. </w:t>
      </w:r>
    </w:p>
    <w:p w:rsidR="001554A1" w:rsidRDefault="00FE1B65">
      <w:pPr>
        <w:pStyle w:val="TOC1"/>
        <w:tabs>
          <w:tab w:val="left" w:pos="1282"/>
        </w:tabs>
        <w:snapToGrid w:val="0"/>
        <w:spacing w:before="120" w:after="120"/>
        <w:jc w:val="center"/>
        <w:rPr>
          <w:bCs w:val="0"/>
          <w:i w:val="0"/>
          <w:u w:val="single"/>
        </w:rPr>
      </w:pPr>
      <w:r>
        <w:rPr>
          <w:bCs w:val="0"/>
          <w:i w:val="0"/>
          <w:u w:val="single"/>
        </w:rPr>
        <w:t>High-level consideration on synchronization signal/channel design</w:t>
      </w:r>
    </w:p>
    <w:p w:rsidR="00FE1B65" w:rsidRDefault="00FE1B65" w:rsidP="00FE1B65">
      <w:pPr>
        <w:snapToGrid w:val="0"/>
        <w:spacing w:before="120" w:after="120"/>
        <w:rPr>
          <w:sz w:val="20"/>
          <w:highlight w:val="yellow"/>
        </w:rPr>
      </w:pPr>
      <w:r>
        <w:rPr>
          <w:b/>
          <w:bCs/>
          <w:i/>
          <w:sz w:val="20"/>
        </w:rPr>
        <w:t>Observation 1:</w:t>
      </w:r>
      <w:r>
        <w:rPr>
          <w:bCs/>
          <w:i/>
          <w:iCs/>
          <w:sz w:val="20"/>
        </w:rPr>
        <w:t xml:space="preserve"> The basic functionalities (e.g., cell </w:t>
      </w:r>
      <w:r>
        <w:rPr>
          <w:rFonts w:hint="eastAsia"/>
          <w:bCs/>
          <w:i/>
          <w:iCs/>
          <w:sz w:val="20"/>
        </w:rPr>
        <w:t>identification</w:t>
      </w:r>
      <w:r>
        <w:rPr>
          <w:bCs/>
          <w:i/>
          <w:iCs/>
          <w:sz w:val="20"/>
        </w:rPr>
        <w:t xml:space="preserve">, initial synchronization, MIB </w:t>
      </w:r>
      <w:r>
        <w:rPr>
          <w:rFonts w:hint="eastAsia"/>
          <w:bCs/>
          <w:i/>
          <w:iCs/>
          <w:sz w:val="20"/>
        </w:rPr>
        <w:t>acquisition,</w:t>
      </w:r>
      <w:r>
        <w:rPr>
          <w:bCs/>
          <w:i/>
          <w:iCs/>
          <w:sz w:val="20"/>
        </w:rPr>
        <w:t xml:space="preserve"> </w:t>
      </w:r>
      <w:r>
        <w:rPr>
          <w:rFonts w:hint="eastAsia"/>
          <w:bCs/>
          <w:i/>
          <w:iCs/>
          <w:sz w:val="20"/>
        </w:rPr>
        <w:t>beam management</w:t>
      </w:r>
      <w:r>
        <w:rPr>
          <w:bCs/>
          <w:i/>
          <w:iCs/>
          <w:sz w:val="20"/>
        </w:rPr>
        <w:t xml:space="preserve"> &amp; mobility</w:t>
      </w:r>
      <w:r>
        <w:rPr>
          <w:rFonts w:hint="eastAsia"/>
          <w:bCs/>
          <w:i/>
          <w:iCs/>
          <w:sz w:val="20"/>
        </w:rPr>
        <w:t>, QCL source</w:t>
      </w:r>
      <w:r>
        <w:rPr>
          <w:bCs/>
          <w:i/>
          <w:iCs/>
          <w:sz w:val="20"/>
        </w:rPr>
        <w:t xml:space="preserve">) are still </w:t>
      </w:r>
      <w:r>
        <w:rPr>
          <w:rFonts w:hint="eastAsia"/>
          <w:bCs/>
          <w:i/>
          <w:iCs/>
          <w:sz w:val="20"/>
        </w:rPr>
        <w:t>necessary</w:t>
      </w:r>
      <w:r>
        <w:rPr>
          <w:bCs/>
          <w:i/>
          <w:iCs/>
          <w:sz w:val="20"/>
        </w:rPr>
        <w:t xml:space="preserve"> for 6G synchronization signal/channel design.</w:t>
      </w:r>
    </w:p>
    <w:p w:rsidR="001554A1" w:rsidRDefault="00FE1B65">
      <w:pPr>
        <w:spacing w:before="120" w:after="120"/>
        <w:rPr>
          <w:bCs/>
          <w:i/>
          <w:sz w:val="20"/>
        </w:rPr>
      </w:pPr>
      <w:r>
        <w:rPr>
          <w:b/>
          <w:bCs/>
          <w:i/>
          <w:sz w:val="20"/>
        </w:rPr>
        <w:t xml:space="preserve">Observation </w:t>
      </w:r>
      <w:r>
        <w:rPr>
          <w:rFonts w:hint="eastAsia"/>
          <w:b/>
          <w:bCs/>
          <w:i/>
          <w:sz w:val="20"/>
        </w:rPr>
        <w:t>2</w:t>
      </w:r>
      <w:r>
        <w:rPr>
          <w:b/>
          <w:bCs/>
          <w:i/>
          <w:sz w:val="20"/>
        </w:rPr>
        <w:t>:</w:t>
      </w:r>
      <w:r>
        <w:rPr>
          <w:bCs/>
          <w:i/>
          <w:sz w:val="20"/>
        </w:rPr>
        <w:t xml:space="preserve"> The </w:t>
      </w:r>
      <w:r>
        <w:rPr>
          <w:rFonts w:hint="eastAsia"/>
          <w:bCs/>
          <w:i/>
          <w:sz w:val="20"/>
        </w:rPr>
        <w:t xml:space="preserve">design of </w:t>
      </w:r>
      <w:r>
        <w:rPr>
          <w:bCs/>
          <w:i/>
          <w:sz w:val="20"/>
        </w:rPr>
        <w:t>SSB</w:t>
      </w:r>
      <w:r>
        <w:rPr>
          <w:rFonts w:hint="eastAsia"/>
          <w:bCs/>
          <w:i/>
          <w:sz w:val="20"/>
        </w:rPr>
        <w:t xml:space="preserve"> and DL common channels</w:t>
      </w:r>
      <w:r>
        <w:rPr>
          <w:bCs/>
          <w:i/>
          <w:sz w:val="20"/>
        </w:rPr>
        <w:t xml:space="preserve"> </w:t>
      </w:r>
      <w:r>
        <w:rPr>
          <w:rFonts w:hint="eastAsia"/>
          <w:bCs/>
          <w:i/>
          <w:sz w:val="20"/>
        </w:rPr>
        <w:t xml:space="preserve">transmission </w:t>
      </w:r>
      <w:r>
        <w:rPr>
          <w:bCs/>
          <w:i/>
          <w:sz w:val="20"/>
        </w:rPr>
        <w:t xml:space="preserve">in </w:t>
      </w:r>
      <w:r>
        <w:rPr>
          <w:rFonts w:hint="eastAsia"/>
          <w:bCs/>
          <w:i/>
          <w:sz w:val="20"/>
        </w:rPr>
        <w:t xml:space="preserve">5G </w:t>
      </w:r>
      <w:r>
        <w:rPr>
          <w:bCs/>
          <w:i/>
          <w:sz w:val="20"/>
        </w:rPr>
        <w:t>NR has limited forward compatibility.</w:t>
      </w:r>
    </w:p>
    <w:p w:rsidR="001554A1" w:rsidRDefault="00FE1B65">
      <w:pPr>
        <w:spacing w:before="120" w:after="120"/>
        <w:rPr>
          <w:bCs/>
          <w:i/>
          <w:sz w:val="20"/>
        </w:rPr>
      </w:pPr>
      <w:r>
        <w:rPr>
          <w:b/>
          <w:bCs/>
          <w:i/>
          <w:sz w:val="20"/>
        </w:rPr>
        <w:t>Observation 3:</w:t>
      </w:r>
      <w:r>
        <w:rPr>
          <w:bCs/>
          <w:i/>
          <w:sz w:val="20"/>
        </w:rPr>
        <w:t xml:space="preserve"> The identified needs (e.g., performance related, </w:t>
      </w:r>
      <w:r>
        <w:rPr>
          <w:rFonts w:hint="eastAsia"/>
          <w:bCs/>
          <w:i/>
          <w:sz w:val="20"/>
        </w:rPr>
        <w:t>compatibility</w:t>
      </w:r>
      <w:r>
        <w:rPr>
          <w:bCs/>
          <w:i/>
          <w:sz w:val="20"/>
        </w:rPr>
        <w:t xml:space="preserve"> to support various device/deployment) are </w:t>
      </w:r>
      <w:r>
        <w:rPr>
          <w:rFonts w:hint="eastAsia"/>
          <w:bCs/>
          <w:i/>
          <w:sz w:val="20"/>
        </w:rPr>
        <w:t>essential</w:t>
      </w:r>
      <w:r>
        <w:rPr>
          <w:bCs/>
          <w:i/>
          <w:sz w:val="20"/>
        </w:rPr>
        <w:t xml:space="preserve"> for </w:t>
      </w:r>
      <w:r>
        <w:rPr>
          <w:bCs/>
          <w:i/>
          <w:iCs/>
          <w:sz w:val="20"/>
        </w:rPr>
        <w:t>6G synchronization signal/channel design</w:t>
      </w:r>
      <w:r>
        <w:rPr>
          <w:bCs/>
          <w:i/>
          <w:sz w:val="20"/>
        </w:rPr>
        <w:t>.</w:t>
      </w:r>
    </w:p>
    <w:p w:rsidR="00076FF8" w:rsidRDefault="00076FF8" w:rsidP="00076FF8">
      <w:pPr>
        <w:snapToGrid w:val="0"/>
        <w:spacing w:before="120" w:after="120"/>
        <w:rPr>
          <w:bCs/>
          <w:i/>
          <w:sz w:val="20"/>
        </w:rPr>
      </w:pPr>
      <w:r>
        <w:rPr>
          <w:b/>
          <w:bCs/>
          <w:i/>
          <w:sz w:val="20"/>
        </w:rPr>
        <w:t xml:space="preserve">Proposal 1: </w:t>
      </w:r>
      <w:r>
        <w:rPr>
          <w:bCs/>
          <w:i/>
          <w:sz w:val="20"/>
        </w:rPr>
        <w:t xml:space="preserve">The future-proof design for synchronization signal/channel should be considered to support various </w:t>
      </w:r>
      <w:r>
        <w:rPr>
          <w:rFonts w:hint="eastAsia"/>
          <w:bCs/>
          <w:i/>
          <w:sz w:val="20"/>
        </w:rPr>
        <w:t>functionalities</w:t>
      </w:r>
      <w:r>
        <w:rPr>
          <w:bCs/>
          <w:i/>
          <w:sz w:val="20"/>
        </w:rPr>
        <w:t xml:space="preserve"> and needs, e.g.,</w:t>
      </w:r>
      <w:r>
        <w:rPr>
          <w:rFonts w:hint="eastAsia"/>
          <w:bCs/>
          <w:i/>
          <w:sz w:val="20"/>
        </w:rPr>
        <w:t xml:space="preserve"> </w:t>
      </w:r>
    </w:p>
    <w:p w:rsidR="00076FF8" w:rsidRDefault="00076FF8" w:rsidP="00076FF8">
      <w:pPr>
        <w:numPr>
          <w:ilvl w:val="0"/>
          <w:numId w:val="10"/>
        </w:numPr>
        <w:tabs>
          <w:tab w:val="clear" w:pos="840"/>
          <w:tab w:val="left" w:pos="420"/>
        </w:tabs>
        <w:spacing w:before="120" w:after="120"/>
        <w:ind w:left="0" w:firstLine="0"/>
        <w:rPr>
          <w:i/>
          <w:iCs/>
          <w:sz w:val="20"/>
        </w:rPr>
      </w:pPr>
      <w:r>
        <w:rPr>
          <w:rFonts w:hint="eastAsia"/>
          <w:i/>
          <w:iCs/>
          <w:sz w:val="20"/>
        </w:rPr>
        <w:t>Basic functionalitie</w:t>
      </w:r>
      <w:r>
        <w:rPr>
          <w:i/>
          <w:iCs/>
          <w:sz w:val="20"/>
        </w:rPr>
        <w:t xml:space="preserve">s (e.g., cell </w:t>
      </w:r>
      <w:r>
        <w:rPr>
          <w:rFonts w:hint="eastAsia"/>
          <w:i/>
          <w:iCs/>
          <w:sz w:val="20"/>
        </w:rPr>
        <w:t>identification</w:t>
      </w:r>
      <w:r>
        <w:rPr>
          <w:i/>
          <w:iCs/>
          <w:sz w:val="20"/>
        </w:rPr>
        <w:t xml:space="preserve">, initial synchronization, MIB </w:t>
      </w:r>
      <w:r>
        <w:rPr>
          <w:rFonts w:hint="eastAsia"/>
          <w:i/>
          <w:iCs/>
          <w:sz w:val="20"/>
        </w:rPr>
        <w:t>acquisition,</w:t>
      </w:r>
      <w:r>
        <w:rPr>
          <w:i/>
          <w:iCs/>
          <w:sz w:val="20"/>
        </w:rPr>
        <w:t xml:space="preserve"> </w:t>
      </w:r>
      <w:r>
        <w:rPr>
          <w:rFonts w:hint="eastAsia"/>
          <w:i/>
          <w:iCs/>
          <w:sz w:val="20"/>
        </w:rPr>
        <w:t>beam management</w:t>
      </w:r>
      <w:r>
        <w:rPr>
          <w:i/>
          <w:iCs/>
          <w:sz w:val="20"/>
        </w:rPr>
        <w:t xml:space="preserve"> &amp; mobility</w:t>
      </w:r>
      <w:r>
        <w:rPr>
          <w:rFonts w:hint="eastAsia"/>
          <w:i/>
          <w:iCs/>
          <w:sz w:val="20"/>
        </w:rPr>
        <w:t>, QCL source</w:t>
      </w:r>
      <w:r>
        <w:rPr>
          <w:i/>
          <w:iCs/>
          <w:sz w:val="20"/>
        </w:rPr>
        <w:t xml:space="preserve">) with balanced </w:t>
      </w:r>
      <w:r>
        <w:rPr>
          <w:rFonts w:hint="eastAsia"/>
          <w:i/>
          <w:iCs/>
          <w:sz w:val="20"/>
        </w:rPr>
        <w:t>performance</w:t>
      </w:r>
      <w:r>
        <w:rPr>
          <w:i/>
          <w:iCs/>
          <w:sz w:val="20"/>
        </w:rPr>
        <w:t xml:space="preserve"> considering aspects including, e.g., </w:t>
      </w:r>
    </w:p>
    <w:p w:rsidR="00076FF8" w:rsidRDefault="00076FF8" w:rsidP="00076FF8">
      <w:pPr>
        <w:numPr>
          <w:ilvl w:val="0"/>
          <w:numId w:val="11"/>
        </w:numPr>
        <w:tabs>
          <w:tab w:val="clear" w:pos="840"/>
          <w:tab w:val="left" w:pos="420"/>
        </w:tabs>
        <w:spacing w:before="120" w:after="120"/>
        <w:ind w:left="840"/>
        <w:rPr>
          <w:i/>
          <w:iCs/>
          <w:sz w:val="20"/>
        </w:rPr>
      </w:pPr>
      <w:r>
        <w:rPr>
          <w:rFonts w:hint="eastAsia"/>
          <w:i/>
          <w:iCs/>
          <w:sz w:val="20"/>
        </w:rPr>
        <w:t xml:space="preserve">Coverage and capacity </w:t>
      </w:r>
    </w:p>
    <w:p w:rsidR="00076FF8" w:rsidRDefault="00076FF8" w:rsidP="00076FF8">
      <w:pPr>
        <w:numPr>
          <w:ilvl w:val="0"/>
          <w:numId w:val="11"/>
        </w:numPr>
        <w:tabs>
          <w:tab w:val="clear" w:pos="840"/>
          <w:tab w:val="left" w:pos="420"/>
        </w:tabs>
        <w:spacing w:before="120" w:after="120"/>
        <w:ind w:left="840"/>
        <w:rPr>
          <w:i/>
          <w:iCs/>
          <w:sz w:val="20"/>
        </w:rPr>
      </w:pPr>
      <w:r>
        <w:rPr>
          <w:rFonts w:hint="eastAsia"/>
          <w:i/>
          <w:iCs/>
          <w:sz w:val="20"/>
        </w:rPr>
        <w:t>Energy efficiency for both network and UE</w:t>
      </w:r>
    </w:p>
    <w:p w:rsidR="00076FF8" w:rsidRDefault="00076FF8" w:rsidP="00076FF8">
      <w:pPr>
        <w:numPr>
          <w:ilvl w:val="0"/>
          <w:numId w:val="11"/>
        </w:numPr>
        <w:tabs>
          <w:tab w:val="clear" w:pos="840"/>
          <w:tab w:val="left" w:pos="420"/>
        </w:tabs>
        <w:spacing w:before="120" w:after="120"/>
        <w:ind w:left="840"/>
        <w:rPr>
          <w:i/>
          <w:iCs/>
          <w:sz w:val="20"/>
        </w:rPr>
      </w:pPr>
      <w:r>
        <w:rPr>
          <w:rFonts w:hint="eastAsia"/>
          <w:i/>
          <w:iCs/>
          <w:sz w:val="20"/>
        </w:rPr>
        <w:t>Latency of initial cell search</w:t>
      </w:r>
    </w:p>
    <w:p w:rsidR="00076FF8" w:rsidRDefault="00076FF8" w:rsidP="00076FF8">
      <w:pPr>
        <w:numPr>
          <w:ilvl w:val="0"/>
          <w:numId w:val="11"/>
        </w:numPr>
        <w:tabs>
          <w:tab w:val="clear" w:pos="840"/>
          <w:tab w:val="left" w:pos="420"/>
        </w:tabs>
        <w:spacing w:before="120" w:after="120"/>
        <w:ind w:left="840"/>
        <w:rPr>
          <w:i/>
          <w:iCs/>
          <w:sz w:val="20"/>
        </w:rPr>
      </w:pPr>
      <w:r>
        <w:rPr>
          <w:rFonts w:hint="eastAsia"/>
          <w:i/>
          <w:iCs/>
          <w:sz w:val="20"/>
        </w:rPr>
        <w:t>Complexity</w:t>
      </w:r>
    </w:p>
    <w:p w:rsidR="00076FF8" w:rsidRDefault="00076FF8" w:rsidP="00076FF8">
      <w:pPr>
        <w:numPr>
          <w:ilvl w:val="0"/>
          <w:numId w:val="10"/>
        </w:numPr>
        <w:tabs>
          <w:tab w:val="clear" w:pos="840"/>
          <w:tab w:val="left" w:pos="420"/>
        </w:tabs>
        <w:spacing w:before="120" w:after="120"/>
        <w:ind w:left="0" w:firstLine="0"/>
        <w:rPr>
          <w:i/>
          <w:iCs/>
          <w:sz w:val="20"/>
        </w:rPr>
      </w:pPr>
      <w:r>
        <w:rPr>
          <w:rFonts w:hint="eastAsia"/>
          <w:i/>
          <w:iCs/>
          <w:sz w:val="20"/>
        </w:rPr>
        <w:t>Common design for diverse device types with eMBB as high priority</w:t>
      </w:r>
      <w:r>
        <w:rPr>
          <w:i/>
          <w:iCs/>
          <w:sz w:val="20"/>
        </w:rPr>
        <w:t xml:space="preserve"> and c</w:t>
      </w:r>
      <w:r>
        <w:rPr>
          <w:rFonts w:hint="eastAsia"/>
          <w:i/>
          <w:iCs/>
          <w:sz w:val="20"/>
        </w:rPr>
        <w:t>ompatibility for narrowband operation</w:t>
      </w:r>
      <w:r>
        <w:rPr>
          <w:i/>
          <w:iCs/>
          <w:sz w:val="20"/>
        </w:rPr>
        <w:t>.</w:t>
      </w:r>
    </w:p>
    <w:p w:rsidR="00076FF8" w:rsidRDefault="00076FF8" w:rsidP="00076FF8">
      <w:pPr>
        <w:numPr>
          <w:ilvl w:val="0"/>
          <w:numId w:val="10"/>
        </w:numPr>
        <w:tabs>
          <w:tab w:val="clear" w:pos="840"/>
          <w:tab w:val="left" w:pos="420"/>
        </w:tabs>
        <w:spacing w:before="120" w:after="120"/>
        <w:ind w:left="0" w:firstLine="0"/>
        <w:rPr>
          <w:i/>
          <w:iCs/>
          <w:sz w:val="20"/>
        </w:rPr>
      </w:pPr>
      <w:r>
        <w:rPr>
          <w:rFonts w:hint="eastAsia"/>
          <w:i/>
          <w:iCs/>
          <w:sz w:val="20"/>
        </w:rPr>
        <w:t>Scalability for different deployment scenarios</w:t>
      </w:r>
      <w:r w:rsidRPr="00AA5147">
        <w:rPr>
          <w:i/>
          <w:iCs/>
          <w:sz w:val="20"/>
        </w:rPr>
        <w:t xml:space="preserve"> </w:t>
      </w:r>
      <w:r>
        <w:rPr>
          <w:i/>
          <w:iCs/>
          <w:sz w:val="20"/>
        </w:rPr>
        <w:t>including cell-free/multi-TRP scenarios and NTN scenarios</w:t>
      </w:r>
    </w:p>
    <w:p w:rsidR="001554A1" w:rsidRDefault="00FE1B65">
      <w:pPr>
        <w:pStyle w:val="TOC1"/>
        <w:tabs>
          <w:tab w:val="left" w:pos="1282"/>
        </w:tabs>
        <w:snapToGrid w:val="0"/>
        <w:spacing w:before="120" w:after="120"/>
        <w:jc w:val="center"/>
        <w:rPr>
          <w:u w:val="single"/>
        </w:rPr>
      </w:pPr>
      <w:r>
        <w:rPr>
          <w:bCs w:val="0"/>
          <w:i w:val="0"/>
          <w:u w:val="single"/>
        </w:rPr>
        <w:t>Basic structure of synchronization signal/channel</w:t>
      </w:r>
    </w:p>
    <w:p w:rsidR="001554A1" w:rsidRDefault="00FE1B65">
      <w:pPr>
        <w:spacing w:before="120" w:after="120"/>
        <w:rPr>
          <w:sz w:val="20"/>
        </w:rPr>
      </w:pPr>
      <w:r>
        <w:rPr>
          <w:b/>
          <w:bCs/>
          <w:i/>
          <w:sz w:val="20"/>
        </w:rPr>
        <w:t>Observation 4:</w:t>
      </w:r>
      <w:r>
        <w:rPr>
          <w:bCs/>
          <w:i/>
          <w:iCs/>
          <w:sz w:val="20"/>
        </w:rPr>
        <w:t xml:space="preserve"> </w:t>
      </w:r>
      <w:r>
        <w:rPr>
          <w:rFonts w:hint="eastAsia"/>
          <w:i/>
          <w:iCs/>
          <w:sz w:val="20"/>
        </w:rPr>
        <w:t>The spectrum allocation size of 3 MHz is not a typical deployment bandwidth, using 3 MHz as the assumption for SSB design will significantly affect the coverage and capacity of eMBB with larger bandwidth.</w:t>
      </w:r>
    </w:p>
    <w:p w:rsidR="001554A1" w:rsidRDefault="00FE1B65">
      <w:pPr>
        <w:spacing w:before="120" w:after="120" w:line="240" w:lineRule="auto"/>
        <w:jc w:val="left"/>
        <w:rPr>
          <w:b/>
          <w:bCs/>
          <w:i/>
          <w:sz w:val="20"/>
        </w:rPr>
      </w:pPr>
      <w:r>
        <w:rPr>
          <w:b/>
          <w:bCs/>
          <w:i/>
          <w:sz w:val="20"/>
        </w:rPr>
        <w:t xml:space="preserve">Proposal </w:t>
      </w:r>
      <w:r>
        <w:rPr>
          <w:rFonts w:hint="eastAsia"/>
          <w:b/>
          <w:bCs/>
          <w:i/>
          <w:sz w:val="20"/>
        </w:rPr>
        <w:t>2</w:t>
      </w:r>
      <w:r>
        <w:rPr>
          <w:b/>
          <w:bCs/>
          <w:i/>
          <w:sz w:val="20"/>
        </w:rPr>
        <w:t>:</w:t>
      </w:r>
      <w:r>
        <w:rPr>
          <w:rFonts w:hint="eastAsia"/>
          <w:b/>
          <w:bCs/>
          <w:i/>
          <w:sz w:val="20"/>
        </w:rPr>
        <w:t xml:space="preserve"> </w:t>
      </w:r>
      <w:r>
        <w:rPr>
          <w:i/>
          <w:sz w:val="20"/>
        </w:rPr>
        <w:t>The following option should be considered for SSB design:</w:t>
      </w:r>
    </w:p>
    <w:p w:rsidR="001554A1" w:rsidRDefault="00FE1B65">
      <w:pPr>
        <w:numPr>
          <w:ilvl w:val="0"/>
          <w:numId w:val="13"/>
        </w:numPr>
        <w:spacing w:before="120" w:after="120"/>
        <w:rPr>
          <w:i/>
          <w:iCs/>
          <w:sz w:val="20"/>
        </w:rPr>
      </w:pPr>
      <w:r>
        <w:rPr>
          <w:rFonts w:hint="eastAsia"/>
          <w:i/>
          <w:iCs/>
          <w:sz w:val="20"/>
        </w:rPr>
        <w:t>Opt1: Design of the common signals/channels (at least for SSB) for initial access by assuming bandwidth larger than 3MHz, which is applicable to any spectrum allocations with adjustment, if applicable</w:t>
      </w:r>
    </w:p>
    <w:p w:rsidR="001554A1" w:rsidRDefault="00FE1B65">
      <w:pPr>
        <w:snapToGrid w:val="0"/>
        <w:spacing w:before="120" w:after="120"/>
        <w:rPr>
          <w:i/>
          <w:iCs/>
          <w:sz w:val="20"/>
        </w:rPr>
      </w:pPr>
      <w:r>
        <w:rPr>
          <w:b/>
          <w:bCs/>
          <w:i/>
          <w:sz w:val="20"/>
        </w:rPr>
        <w:t>Observation 5:</w:t>
      </w:r>
      <w:r>
        <w:rPr>
          <w:bCs/>
          <w:i/>
          <w:iCs/>
          <w:sz w:val="20"/>
        </w:rPr>
        <w:t xml:space="preserve"> </w:t>
      </w:r>
      <w:r>
        <w:rPr>
          <w:rFonts w:hint="eastAsia"/>
          <w:bCs/>
          <w:i/>
          <w:iCs/>
          <w:sz w:val="20"/>
        </w:rPr>
        <w:t>L</w:t>
      </w:r>
      <w:r>
        <w:rPr>
          <w:i/>
          <w:iCs/>
          <w:sz w:val="20"/>
        </w:rPr>
        <w:t xml:space="preserve">arger SSB periodicity for both initial access and following measurement is beneficial </w:t>
      </w:r>
      <w:r>
        <w:rPr>
          <w:rFonts w:hint="eastAsia"/>
          <w:i/>
          <w:iCs/>
          <w:sz w:val="20"/>
        </w:rPr>
        <w:t xml:space="preserve">for </w:t>
      </w:r>
      <w:r>
        <w:rPr>
          <w:i/>
          <w:iCs/>
          <w:sz w:val="20"/>
        </w:rPr>
        <w:t xml:space="preserve">NES, and provides </w:t>
      </w:r>
      <w:r>
        <w:rPr>
          <w:rFonts w:hint="eastAsia"/>
          <w:i/>
          <w:iCs/>
          <w:sz w:val="20"/>
        </w:rPr>
        <w:t>higher coverage ratio</w:t>
      </w:r>
      <w:r>
        <w:rPr>
          <w:i/>
          <w:iCs/>
          <w:sz w:val="20"/>
        </w:rPr>
        <w:t xml:space="preserve"> for beam hopping under NTN.</w:t>
      </w:r>
    </w:p>
    <w:p w:rsidR="001554A1" w:rsidRDefault="00FE1B65">
      <w:pPr>
        <w:snapToGrid w:val="0"/>
        <w:spacing w:before="120" w:after="120"/>
        <w:rPr>
          <w:i/>
          <w:iCs/>
          <w:sz w:val="20"/>
        </w:rPr>
      </w:pPr>
      <w:r>
        <w:rPr>
          <w:b/>
          <w:bCs/>
          <w:i/>
          <w:sz w:val="20"/>
        </w:rPr>
        <w:t>Observation 6:</w:t>
      </w:r>
      <w:r>
        <w:rPr>
          <w:bCs/>
          <w:i/>
          <w:iCs/>
          <w:sz w:val="20"/>
        </w:rPr>
        <w:t xml:space="preserve"> </w:t>
      </w:r>
      <w:r>
        <w:rPr>
          <w:rFonts w:hint="eastAsia"/>
          <w:bCs/>
          <w:i/>
          <w:iCs/>
          <w:sz w:val="20"/>
        </w:rPr>
        <w:t>L</w:t>
      </w:r>
      <w:r>
        <w:rPr>
          <w:i/>
          <w:iCs/>
          <w:sz w:val="20"/>
        </w:rPr>
        <w:t xml:space="preserve">arger SSB periodicity is beneficial </w:t>
      </w:r>
      <w:r>
        <w:rPr>
          <w:rFonts w:hint="eastAsia"/>
          <w:i/>
          <w:iCs/>
          <w:sz w:val="20"/>
        </w:rPr>
        <w:t xml:space="preserve">for </w:t>
      </w:r>
      <w:r>
        <w:rPr>
          <w:i/>
          <w:iCs/>
          <w:sz w:val="20"/>
        </w:rPr>
        <w:t xml:space="preserve">overhead </w:t>
      </w:r>
      <w:r>
        <w:rPr>
          <w:rFonts w:hint="eastAsia"/>
          <w:i/>
          <w:iCs/>
          <w:sz w:val="20"/>
        </w:rPr>
        <w:t xml:space="preserve">reduction </w:t>
      </w:r>
      <w:r>
        <w:rPr>
          <w:i/>
          <w:iCs/>
          <w:sz w:val="20"/>
        </w:rPr>
        <w:t>of the common channel</w:t>
      </w:r>
      <w:r>
        <w:rPr>
          <w:rFonts w:hint="eastAsia"/>
          <w:i/>
          <w:iCs/>
          <w:sz w:val="20"/>
        </w:rPr>
        <w:t>,</w:t>
      </w:r>
      <w:r>
        <w:rPr>
          <w:i/>
          <w:iCs/>
          <w:sz w:val="20"/>
        </w:rPr>
        <w:t xml:space="preserve"> e.g., SIB1</w:t>
      </w:r>
      <w:r>
        <w:rPr>
          <w:rFonts w:hint="eastAsia"/>
          <w:i/>
          <w:iCs/>
          <w:sz w:val="20"/>
        </w:rPr>
        <w:t>.</w:t>
      </w:r>
    </w:p>
    <w:p w:rsidR="001554A1" w:rsidRDefault="00FE1B65">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6G</w:t>
      </w:r>
      <w:r>
        <w:rPr>
          <w:rFonts w:hint="eastAsia"/>
          <w:bCs/>
          <w:i/>
          <w:sz w:val="20"/>
        </w:rPr>
        <w:t>R</w:t>
      </w:r>
      <w:r>
        <w:rPr>
          <w:bCs/>
          <w:i/>
          <w:sz w:val="20"/>
        </w:rPr>
        <w:t xml:space="preserve"> </w:t>
      </w:r>
      <w:r>
        <w:rPr>
          <w:rFonts w:hint="eastAsia"/>
          <w:bCs/>
          <w:i/>
          <w:sz w:val="20"/>
        </w:rPr>
        <w:t>supports a larger default SSB periodicity, e.g., 160 ms.</w:t>
      </w:r>
    </w:p>
    <w:p w:rsidR="002F21E8" w:rsidRDefault="002F21E8" w:rsidP="002F21E8">
      <w:pPr>
        <w:snapToGrid w:val="0"/>
        <w:spacing w:before="120" w:after="120"/>
        <w:rPr>
          <w:i/>
          <w:iCs/>
          <w:sz w:val="20"/>
        </w:rPr>
      </w:pPr>
      <w:r>
        <w:rPr>
          <w:b/>
          <w:bCs/>
          <w:i/>
          <w:sz w:val="20"/>
        </w:rPr>
        <w:t xml:space="preserve">Observation </w:t>
      </w:r>
      <w:r>
        <w:rPr>
          <w:rFonts w:hint="eastAsia"/>
          <w:b/>
          <w:bCs/>
          <w:i/>
          <w:sz w:val="20"/>
        </w:rPr>
        <w:t>7</w:t>
      </w:r>
      <w:r>
        <w:rPr>
          <w:b/>
          <w:bCs/>
          <w:i/>
          <w:sz w:val="20"/>
        </w:rPr>
        <w:t>:</w:t>
      </w:r>
      <w:r>
        <w:rPr>
          <w:bCs/>
          <w:i/>
          <w:iCs/>
          <w:sz w:val="20"/>
        </w:rPr>
        <w:t xml:space="preserve"> Supporting m</w:t>
      </w:r>
      <w:r>
        <w:rPr>
          <w:i/>
          <w:iCs/>
          <w:sz w:val="20"/>
        </w:rPr>
        <w:t xml:space="preserve">ore candidate SSBs is an effective way to improve coverage performance while harvesting beamforming gain at base station side, which is beneficial </w:t>
      </w:r>
      <w:r>
        <w:rPr>
          <w:rFonts w:hint="eastAsia"/>
          <w:i/>
          <w:iCs/>
          <w:sz w:val="20"/>
        </w:rPr>
        <w:t>t</w:t>
      </w:r>
      <w:r>
        <w:rPr>
          <w:i/>
          <w:iCs/>
          <w:sz w:val="20"/>
        </w:rPr>
        <w:t>o support deployments with various topologies.</w:t>
      </w:r>
      <w:r>
        <w:rPr>
          <w:rFonts w:hint="eastAsia"/>
          <w:i/>
          <w:iCs/>
          <w:sz w:val="20"/>
        </w:rPr>
        <w:t xml:space="preserve"> </w:t>
      </w:r>
    </w:p>
    <w:p w:rsidR="00476EE9" w:rsidRDefault="00476EE9" w:rsidP="00476EE9">
      <w:pPr>
        <w:snapToGrid w:val="0"/>
        <w:spacing w:before="120" w:after="120"/>
        <w:rPr>
          <w:i/>
          <w:iCs/>
          <w:sz w:val="20"/>
        </w:rPr>
      </w:pPr>
      <w:r>
        <w:rPr>
          <w:b/>
          <w:bCs/>
          <w:i/>
          <w:sz w:val="20"/>
        </w:rPr>
        <w:lastRenderedPageBreak/>
        <w:t xml:space="preserve">Observation </w:t>
      </w:r>
      <w:r>
        <w:rPr>
          <w:rFonts w:hint="eastAsia"/>
          <w:b/>
          <w:bCs/>
          <w:i/>
          <w:sz w:val="20"/>
        </w:rPr>
        <w:t>8</w:t>
      </w:r>
      <w:r>
        <w:rPr>
          <w:b/>
          <w:bCs/>
          <w:i/>
          <w:sz w:val="20"/>
        </w:rPr>
        <w:t>:</w:t>
      </w:r>
      <w:r>
        <w:rPr>
          <w:bCs/>
          <w:i/>
          <w:iCs/>
          <w:sz w:val="20"/>
        </w:rPr>
        <w:t xml:space="preserve"> </w:t>
      </w:r>
      <w:r>
        <w:rPr>
          <w:i/>
          <w:iCs/>
          <w:sz w:val="20"/>
        </w:rPr>
        <w:t>T</w:t>
      </w:r>
      <w:r>
        <w:rPr>
          <w:rFonts w:hint="eastAsia"/>
          <w:i/>
          <w:iCs/>
          <w:sz w:val="20"/>
        </w:rPr>
        <w:t xml:space="preserve">ime-domain overhead similar to that of 5G SSB can be expected if the number of 6GR SSB increases to 64 while </w:t>
      </w:r>
      <w:r>
        <w:rPr>
          <w:i/>
          <w:iCs/>
          <w:sz w:val="20"/>
        </w:rPr>
        <w:t>extending</w:t>
      </w:r>
      <w:r>
        <w:rPr>
          <w:rFonts w:hint="eastAsia"/>
          <w:i/>
          <w:iCs/>
          <w:sz w:val="20"/>
        </w:rPr>
        <w:t xml:space="preserve"> to 160 ms.</w:t>
      </w:r>
    </w:p>
    <w:p w:rsidR="001554A1" w:rsidRDefault="00FE1B65">
      <w:pPr>
        <w:snapToGrid w:val="0"/>
        <w:spacing w:before="120" w:after="120"/>
        <w:rPr>
          <w:b/>
          <w:bCs/>
          <w:i/>
          <w:iCs/>
          <w:sz w:val="20"/>
        </w:rPr>
      </w:pPr>
      <w:r>
        <w:rPr>
          <w:b/>
          <w:bCs/>
          <w:i/>
          <w:sz w:val="20"/>
        </w:rPr>
        <w:t xml:space="preserve">Proposal </w:t>
      </w:r>
      <w:r>
        <w:rPr>
          <w:rFonts w:hint="eastAsia"/>
          <w:b/>
          <w:bCs/>
          <w:i/>
          <w:sz w:val="20"/>
        </w:rPr>
        <w:t>4</w:t>
      </w:r>
      <w:r>
        <w:rPr>
          <w:b/>
          <w:bCs/>
          <w:i/>
          <w:sz w:val="20"/>
        </w:rPr>
        <w:t>:</w:t>
      </w:r>
      <w:r>
        <w:rPr>
          <w:rFonts w:hint="eastAsia"/>
          <w:b/>
          <w:bCs/>
          <w:i/>
          <w:sz w:val="20"/>
        </w:rPr>
        <w:t xml:space="preserve"> </w:t>
      </w:r>
      <w:r>
        <w:rPr>
          <w:rFonts w:hint="eastAsia"/>
          <w:i/>
          <w:sz w:val="20"/>
        </w:rPr>
        <w:t>A larger SSB capacity</w:t>
      </w:r>
      <w:r>
        <w:rPr>
          <w:i/>
          <w:sz w:val="20"/>
        </w:rPr>
        <w:t xml:space="preserve"> </w:t>
      </w:r>
      <w:r>
        <w:rPr>
          <w:rFonts w:hint="eastAsia"/>
          <w:i/>
          <w:sz w:val="20"/>
        </w:rPr>
        <w:t>can be considered in 6GR</w:t>
      </w:r>
      <w:r>
        <w:rPr>
          <w:i/>
          <w:sz w:val="20"/>
        </w:rPr>
        <w:t xml:space="preserve"> to support various deployment (e.g., U6GHz and NTN).</w:t>
      </w:r>
    </w:p>
    <w:p w:rsidR="001554A1" w:rsidRDefault="00FE1B65">
      <w:pPr>
        <w:spacing w:before="120" w:after="120"/>
        <w:rPr>
          <w:sz w:val="20"/>
        </w:rPr>
      </w:pPr>
      <w:r>
        <w:rPr>
          <w:b/>
          <w:bCs/>
          <w:i/>
          <w:sz w:val="20"/>
        </w:rPr>
        <w:t xml:space="preserve">Observation </w:t>
      </w:r>
      <w:r>
        <w:rPr>
          <w:rFonts w:hint="eastAsia"/>
          <w:b/>
          <w:bCs/>
          <w:i/>
          <w:sz w:val="20"/>
        </w:rPr>
        <w:t>9</w:t>
      </w:r>
      <w:r>
        <w:rPr>
          <w:b/>
          <w:bCs/>
          <w:i/>
          <w:sz w:val="20"/>
        </w:rPr>
        <w:t>:</w:t>
      </w:r>
      <w:r>
        <w:rPr>
          <w:bCs/>
          <w:i/>
          <w:iCs/>
          <w:sz w:val="20"/>
        </w:rPr>
        <w:t xml:space="preserve"> </w:t>
      </w:r>
      <w:r>
        <w:rPr>
          <w:rFonts w:hint="eastAsia"/>
          <w:i/>
          <w:iCs/>
          <w:sz w:val="20"/>
        </w:rPr>
        <w:t xml:space="preserve">Time-varying system information will affect the performance of combined reception. </w:t>
      </w:r>
    </w:p>
    <w:p w:rsidR="001554A1" w:rsidRDefault="00FE1B65">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rFonts w:hint="eastAsia"/>
          <w:bCs/>
          <w:i/>
          <w:sz w:val="20"/>
        </w:rPr>
        <w:t>MIB information splitting</w:t>
      </w:r>
      <w:r>
        <w:rPr>
          <w:bCs/>
          <w:i/>
          <w:sz w:val="20"/>
        </w:rPr>
        <w:t xml:space="preserve"> </w:t>
      </w:r>
      <w:r>
        <w:rPr>
          <w:rFonts w:hint="eastAsia"/>
          <w:bCs/>
          <w:i/>
          <w:sz w:val="20"/>
        </w:rPr>
        <w:t>and</w:t>
      </w:r>
      <w:r>
        <w:rPr>
          <w:bCs/>
          <w:i/>
          <w:sz w:val="20"/>
        </w:rPr>
        <w:t xml:space="preserve"> mapping</w:t>
      </w:r>
      <w:r>
        <w:rPr>
          <w:rFonts w:hint="eastAsia"/>
          <w:bCs/>
          <w:i/>
          <w:sz w:val="20"/>
        </w:rPr>
        <w:t xml:space="preserve"> can be studied in 6GR</w:t>
      </w:r>
      <w:r>
        <w:rPr>
          <w:bCs/>
          <w:i/>
          <w:sz w:val="20"/>
        </w:rPr>
        <w:t xml:space="preserve"> to ensure the PBCH performance </w:t>
      </w:r>
      <w:r>
        <w:rPr>
          <w:rFonts w:hint="eastAsia"/>
          <w:bCs/>
          <w:i/>
          <w:sz w:val="20"/>
        </w:rPr>
        <w:t>for</w:t>
      </w:r>
      <w:r>
        <w:rPr>
          <w:bCs/>
          <w:i/>
          <w:sz w:val="20"/>
        </w:rPr>
        <w:t xml:space="preserve"> various cases, e.g., PBCH combination, different </w:t>
      </w:r>
      <w:r>
        <w:rPr>
          <w:rFonts w:hint="eastAsia"/>
          <w:bCs/>
          <w:i/>
          <w:sz w:val="20"/>
        </w:rPr>
        <w:t xml:space="preserve">deployment or </w:t>
      </w:r>
      <w:r>
        <w:rPr>
          <w:bCs/>
          <w:i/>
          <w:sz w:val="20"/>
        </w:rPr>
        <w:t>device types</w:t>
      </w:r>
      <w:r>
        <w:rPr>
          <w:rFonts w:hint="eastAsia"/>
          <w:bCs/>
          <w:i/>
          <w:sz w:val="20"/>
        </w:rPr>
        <w:t>.</w:t>
      </w:r>
    </w:p>
    <w:p w:rsidR="00852698" w:rsidRDefault="00852698" w:rsidP="00852698">
      <w:pPr>
        <w:spacing w:before="120" w:after="120"/>
        <w:rPr>
          <w:i/>
          <w:sz w:val="20"/>
        </w:rPr>
      </w:pPr>
      <w:r>
        <w:rPr>
          <w:b/>
          <w:bCs/>
          <w:i/>
          <w:sz w:val="20"/>
        </w:rPr>
        <w:t xml:space="preserve">Observation </w:t>
      </w:r>
      <w:r>
        <w:rPr>
          <w:rFonts w:hint="eastAsia"/>
          <w:b/>
          <w:bCs/>
          <w:i/>
          <w:sz w:val="20"/>
        </w:rPr>
        <w:t>10</w:t>
      </w:r>
      <w:r>
        <w:rPr>
          <w:b/>
          <w:bCs/>
          <w:i/>
          <w:sz w:val="20"/>
        </w:rPr>
        <w:t>:</w:t>
      </w:r>
      <w:r>
        <w:rPr>
          <w:bCs/>
          <w:i/>
          <w:sz w:val="20"/>
        </w:rPr>
        <w:t xml:space="preserve"> The design of </w:t>
      </w:r>
      <w:r>
        <w:rPr>
          <w:rFonts w:hint="eastAsia"/>
          <w:i/>
          <w:sz w:val="20"/>
        </w:rPr>
        <w:t>sync raster</w:t>
      </w:r>
      <w:r>
        <w:rPr>
          <w:i/>
          <w:sz w:val="20"/>
        </w:rPr>
        <w:t xml:space="preserve"> will impact both operator’s network and UE’s implementation, e.g., for cell searching</w:t>
      </w:r>
      <w:r>
        <w:rPr>
          <w:rFonts w:hint="eastAsia"/>
          <w:i/>
          <w:sz w:val="20"/>
        </w:rPr>
        <w:t xml:space="preserve">. </w:t>
      </w:r>
    </w:p>
    <w:p w:rsidR="005A35BA" w:rsidRDefault="005A35BA" w:rsidP="005A35BA">
      <w:pPr>
        <w:snapToGrid w:val="0"/>
        <w:spacing w:before="120" w:after="120"/>
        <w:rPr>
          <w:b/>
          <w:bCs/>
          <w:i/>
          <w:sz w:val="20"/>
        </w:rPr>
      </w:pPr>
      <w:r>
        <w:rPr>
          <w:b/>
          <w:bCs/>
          <w:i/>
          <w:sz w:val="20"/>
        </w:rPr>
        <w:t xml:space="preserve">Proposal 6: </w:t>
      </w:r>
      <w:r>
        <w:rPr>
          <w:bCs/>
          <w:i/>
          <w:sz w:val="20"/>
        </w:rPr>
        <w:t>Mechanism for defining a sparser synchronization raster can be studied in 6GR.</w:t>
      </w:r>
    </w:p>
    <w:p w:rsidR="001554A1" w:rsidRDefault="00FE1B65">
      <w:pPr>
        <w:pStyle w:val="TOC1"/>
        <w:tabs>
          <w:tab w:val="left" w:pos="1282"/>
        </w:tabs>
        <w:snapToGrid w:val="0"/>
        <w:spacing w:before="120" w:after="120"/>
        <w:jc w:val="center"/>
        <w:rPr>
          <w:b w:val="0"/>
          <w:bCs w:val="0"/>
          <w:u w:val="single"/>
        </w:rPr>
      </w:pPr>
      <w:r>
        <w:rPr>
          <w:bCs w:val="0"/>
          <w:i w:val="0"/>
          <w:u w:val="single"/>
        </w:rPr>
        <w:t>Framework of multi-SSBs based operation</w:t>
      </w:r>
    </w:p>
    <w:p w:rsidR="00DA673C" w:rsidRDefault="00DA673C" w:rsidP="00DA673C">
      <w:pPr>
        <w:snapToGrid w:val="0"/>
        <w:spacing w:before="120" w:after="120"/>
        <w:rPr>
          <w:bCs/>
          <w:i/>
          <w:sz w:val="20"/>
        </w:rPr>
      </w:pPr>
      <w:r>
        <w:rPr>
          <w:b/>
          <w:bCs/>
          <w:i/>
          <w:sz w:val="20"/>
        </w:rPr>
        <w:t xml:space="preserve">Proposal </w:t>
      </w:r>
      <w:r>
        <w:rPr>
          <w:rFonts w:hint="eastAsia"/>
          <w:b/>
          <w:bCs/>
          <w:i/>
          <w:sz w:val="20"/>
        </w:rPr>
        <w:t>7</w:t>
      </w:r>
      <w:r>
        <w:rPr>
          <w:bCs/>
          <w:i/>
          <w:sz w:val="20"/>
        </w:rPr>
        <w:t>: M</w:t>
      </w:r>
      <w:r>
        <w:rPr>
          <w:rFonts w:hint="eastAsia"/>
          <w:bCs/>
          <w:i/>
          <w:sz w:val="20"/>
        </w:rPr>
        <w:t>ulti-</w:t>
      </w:r>
      <w:r>
        <w:rPr>
          <w:bCs/>
          <w:i/>
          <w:sz w:val="20"/>
        </w:rPr>
        <w:t>SSB</w:t>
      </w:r>
      <w:r>
        <w:rPr>
          <w:rFonts w:hint="eastAsia"/>
          <w:bCs/>
          <w:i/>
          <w:sz w:val="20"/>
        </w:rPr>
        <w:t>s</w:t>
      </w:r>
      <w:r>
        <w:rPr>
          <w:bCs/>
          <w:i/>
          <w:sz w:val="20"/>
        </w:rPr>
        <w:t xml:space="preserve"> based framework should be studied to support the various needs in 6G.</w:t>
      </w:r>
    </w:p>
    <w:p w:rsidR="00F330B5" w:rsidRDefault="00F330B5" w:rsidP="00F330B5">
      <w:pPr>
        <w:snapToGrid w:val="0"/>
        <w:spacing w:before="120" w:after="120"/>
        <w:rPr>
          <w:bCs/>
          <w:i/>
          <w:iCs/>
          <w:sz w:val="20"/>
        </w:rPr>
      </w:pPr>
      <w:r>
        <w:rPr>
          <w:b/>
          <w:bCs/>
          <w:i/>
          <w:iCs/>
          <w:sz w:val="20"/>
        </w:rPr>
        <w:t xml:space="preserve">Observation </w:t>
      </w:r>
      <w:r>
        <w:rPr>
          <w:rFonts w:hint="eastAsia"/>
          <w:b/>
          <w:bCs/>
          <w:i/>
          <w:iCs/>
          <w:sz w:val="20"/>
        </w:rPr>
        <w:t>11</w:t>
      </w:r>
      <w:r>
        <w:rPr>
          <w:bCs/>
          <w:i/>
          <w:iCs/>
          <w:sz w:val="20"/>
        </w:rPr>
        <w:t>: PBCH mapping cross multi-SSBs within one group</w:t>
      </w:r>
      <w:r>
        <w:rPr>
          <w:rFonts w:hint="eastAsia"/>
          <w:bCs/>
          <w:i/>
          <w:iCs/>
          <w:sz w:val="20"/>
        </w:rPr>
        <w:t xml:space="preserve"> en</w:t>
      </w:r>
      <w:r>
        <w:rPr>
          <w:bCs/>
          <w:i/>
          <w:iCs/>
          <w:sz w:val="20"/>
        </w:rPr>
        <w:t xml:space="preserve">sure the performance for narrow band </w:t>
      </w:r>
      <w:r>
        <w:rPr>
          <w:rFonts w:hint="eastAsia"/>
          <w:bCs/>
          <w:i/>
          <w:iCs/>
          <w:sz w:val="20"/>
        </w:rPr>
        <w:t>operation</w:t>
      </w:r>
      <w:r>
        <w:rPr>
          <w:bCs/>
          <w:i/>
          <w:iCs/>
          <w:sz w:val="20"/>
        </w:rPr>
        <w:t>.</w:t>
      </w:r>
    </w:p>
    <w:p w:rsidR="001554A1" w:rsidRDefault="00FE1B65">
      <w:pPr>
        <w:snapToGrid w:val="0"/>
        <w:spacing w:before="120" w:after="120"/>
        <w:rPr>
          <w:i/>
          <w:sz w:val="20"/>
        </w:rPr>
      </w:pPr>
      <w:r>
        <w:rPr>
          <w:b/>
          <w:bCs/>
          <w:i/>
          <w:sz w:val="20"/>
        </w:rPr>
        <w:t xml:space="preserve">Proposal </w:t>
      </w:r>
      <w:r>
        <w:rPr>
          <w:rFonts w:hint="eastAsia"/>
          <w:b/>
          <w:bCs/>
          <w:i/>
          <w:sz w:val="20"/>
        </w:rPr>
        <w:t>8</w:t>
      </w:r>
      <w:r>
        <w:rPr>
          <w:b/>
          <w:bCs/>
          <w:i/>
          <w:sz w:val="20"/>
        </w:rPr>
        <w:t>:</w:t>
      </w:r>
      <w:r>
        <w:rPr>
          <w:i/>
          <w:sz w:val="20"/>
        </w:rPr>
        <w:t xml:space="preserve"> </w:t>
      </w:r>
      <w:r>
        <w:rPr>
          <w:rFonts w:hint="eastAsia"/>
          <w:i/>
          <w:sz w:val="20"/>
        </w:rPr>
        <w:t xml:space="preserve">The </w:t>
      </w:r>
      <w:r>
        <w:rPr>
          <w:i/>
          <w:sz w:val="20"/>
        </w:rPr>
        <w:t xml:space="preserve">following </w:t>
      </w:r>
      <w:r>
        <w:rPr>
          <w:rFonts w:hint="eastAsia"/>
          <w:i/>
          <w:sz w:val="20"/>
        </w:rPr>
        <w:t xml:space="preserve">key </w:t>
      </w:r>
      <w:r>
        <w:rPr>
          <w:i/>
          <w:sz w:val="20"/>
        </w:rPr>
        <w:t xml:space="preserve">aspects can be </w:t>
      </w:r>
      <w:r>
        <w:rPr>
          <w:rFonts w:hint="eastAsia"/>
          <w:i/>
          <w:sz w:val="20"/>
        </w:rPr>
        <w:t>studied</w:t>
      </w:r>
      <w:r>
        <w:rPr>
          <w:i/>
          <w:sz w:val="20"/>
        </w:rPr>
        <w:t xml:space="preserve"> </w:t>
      </w:r>
      <w:r>
        <w:rPr>
          <w:rFonts w:hint="eastAsia"/>
          <w:i/>
          <w:sz w:val="20"/>
        </w:rPr>
        <w:t>along</w:t>
      </w:r>
      <w:r>
        <w:rPr>
          <w:i/>
          <w:sz w:val="20"/>
        </w:rPr>
        <w:t xml:space="preserve"> with multi-SSBs based framework:</w:t>
      </w:r>
      <w:r>
        <w:rPr>
          <w:rFonts w:hint="eastAsia"/>
          <w:i/>
          <w:sz w:val="20"/>
        </w:rPr>
        <w:t xml:space="preserve"> </w:t>
      </w:r>
    </w:p>
    <w:p w:rsidR="001554A1" w:rsidRDefault="00FE1B65">
      <w:pPr>
        <w:numPr>
          <w:ilvl w:val="0"/>
          <w:numId w:val="10"/>
        </w:numPr>
        <w:tabs>
          <w:tab w:val="clear" w:pos="840"/>
          <w:tab w:val="left" w:pos="420"/>
        </w:tabs>
        <w:spacing w:before="120" w:after="120"/>
        <w:ind w:left="840"/>
        <w:rPr>
          <w:i/>
          <w:iCs/>
          <w:sz w:val="20"/>
        </w:rPr>
      </w:pPr>
      <w:r>
        <w:rPr>
          <w:rFonts w:hint="eastAsia"/>
          <w:i/>
          <w:iCs/>
          <w:sz w:val="20"/>
        </w:rPr>
        <w:t xml:space="preserve">Cross SSBs mapping/processing </w:t>
      </w:r>
      <w:r>
        <w:rPr>
          <w:i/>
          <w:iCs/>
          <w:sz w:val="20"/>
        </w:rPr>
        <w:t xml:space="preserve">for </w:t>
      </w:r>
      <w:r>
        <w:rPr>
          <w:rFonts w:hint="eastAsia"/>
          <w:i/>
          <w:iCs/>
          <w:sz w:val="20"/>
        </w:rPr>
        <w:t>PBCH</w:t>
      </w:r>
      <w:r>
        <w:rPr>
          <w:i/>
          <w:iCs/>
          <w:sz w:val="20"/>
        </w:rPr>
        <w:t>.;</w:t>
      </w:r>
    </w:p>
    <w:p w:rsidR="001554A1" w:rsidRDefault="00FE1B65">
      <w:pPr>
        <w:numPr>
          <w:ilvl w:val="0"/>
          <w:numId w:val="10"/>
        </w:numPr>
        <w:tabs>
          <w:tab w:val="clear" w:pos="840"/>
          <w:tab w:val="left" w:pos="420"/>
        </w:tabs>
        <w:spacing w:before="120" w:after="120"/>
        <w:ind w:left="840"/>
        <w:rPr>
          <w:i/>
          <w:iCs/>
          <w:sz w:val="20"/>
        </w:rPr>
      </w:pPr>
      <w:r>
        <w:rPr>
          <w:i/>
          <w:iCs/>
          <w:sz w:val="20"/>
        </w:rPr>
        <w:t>Adaptive transmission of S</w:t>
      </w:r>
      <w:r>
        <w:rPr>
          <w:rFonts w:hint="eastAsia"/>
          <w:i/>
          <w:iCs/>
          <w:sz w:val="20"/>
        </w:rPr>
        <w:t>SB</w:t>
      </w:r>
      <w:r>
        <w:rPr>
          <w:i/>
          <w:iCs/>
          <w:sz w:val="20"/>
        </w:rPr>
        <w:t>(</w:t>
      </w:r>
      <w:r>
        <w:rPr>
          <w:rFonts w:hint="eastAsia"/>
          <w:i/>
          <w:iCs/>
          <w:sz w:val="20"/>
        </w:rPr>
        <w:t>s</w:t>
      </w:r>
      <w:r>
        <w:rPr>
          <w:i/>
          <w:iCs/>
          <w:sz w:val="20"/>
        </w:rPr>
        <w:t>)</w:t>
      </w:r>
      <w:r>
        <w:rPr>
          <w:rFonts w:hint="eastAsia"/>
          <w:i/>
          <w:iCs/>
          <w:sz w:val="20"/>
        </w:rPr>
        <w:t>, which facilitates efficient NES or AI/ML operations and supports advanced deployment scenarios such as multi-carrier/TRP configurations;</w:t>
      </w:r>
    </w:p>
    <w:p w:rsidR="001554A1" w:rsidRDefault="00FE1B65">
      <w:pPr>
        <w:numPr>
          <w:ilvl w:val="0"/>
          <w:numId w:val="10"/>
        </w:numPr>
        <w:tabs>
          <w:tab w:val="clear" w:pos="840"/>
          <w:tab w:val="left" w:pos="420"/>
        </w:tabs>
        <w:spacing w:before="120" w:after="120"/>
        <w:ind w:left="840"/>
        <w:rPr>
          <w:i/>
          <w:iCs/>
          <w:sz w:val="20"/>
        </w:rPr>
      </w:pPr>
      <w:r>
        <w:rPr>
          <w:i/>
          <w:iCs/>
          <w:sz w:val="20"/>
        </w:rPr>
        <w:t>Flexible</w:t>
      </w:r>
      <w:r>
        <w:rPr>
          <w:rFonts w:hint="eastAsia"/>
          <w:i/>
          <w:iCs/>
          <w:sz w:val="20"/>
        </w:rPr>
        <w:t xml:space="preserve"> SSB transmission periodicity</w:t>
      </w:r>
      <w:r>
        <w:rPr>
          <w:i/>
          <w:iCs/>
          <w:sz w:val="20"/>
        </w:rPr>
        <w:t>;</w:t>
      </w:r>
    </w:p>
    <w:p w:rsidR="001554A1" w:rsidRDefault="00FE1B65">
      <w:pPr>
        <w:numPr>
          <w:ilvl w:val="0"/>
          <w:numId w:val="10"/>
        </w:numPr>
        <w:tabs>
          <w:tab w:val="clear" w:pos="840"/>
          <w:tab w:val="left" w:pos="420"/>
        </w:tabs>
        <w:spacing w:before="120" w:after="120"/>
        <w:ind w:left="840"/>
        <w:rPr>
          <w:i/>
          <w:iCs/>
          <w:sz w:val="20"/>
        </w:rPr>
      </w:pPr>
      <w:r>
        <w:rPr>
          <w:i/>
          <w:iCs/>
          <w:sz w:val="20"/>
        </w:rPr>
        <w:t>Information sharing among SSBs</w:t>
      </w:r>
      <w:r>
        <w:rPr>
          <w:rFonts w:hint="eastAsia"/>
          <w:i/>
          <w:iCs/>
          <w:sz w:val="20"/>
        </w:rPr>
        <w:t>.</w:t>
      </w:r>
    </w:p>
    <w:p w:rsidR="006C5C94" w:rsidRDefault="006C5C94" w:rsidP="006C5C94">
      <w:pPr>
        <w:snapToGrid w:val="0"/>
        <w:spacing w:before="120" w:after="120"/>
        <w:rPr>
          <w:sz w:val="20"/>
        </w:rPr>
      </w:pPr>
      <w:r>
        <w:rPr>
          <w:b/>
          <w:bCs/>
          <w:i/>
          <w:sz w:val="20"/>
        </w:rPr>
        <w:t xml:space="preserve">Proposal </w:t>
      </w:r>
      <w:r>
        <w:rPr>
          <w:rFonts w:hint="eastAsia"/>
          <w:b/>
          <w:bCs/>
          <w:i/>
          <w:sz w:val="20"/>
        </w:rPr>
        <w:t>9</w:t>
      </w:r>
      <w:r>
        <w:rPr>
          <w:b/>
          <w:bCs/>
          <w:i/>
          <w:sz w:val="20"/>
        </w:rPr>
        <w:t>:</w:t>
      </w:r>
      <w:r>
        <w:rPr>
          <w:i/>
          <w:sz w:val="20"/>
        </w:rPr>
        <w:t xml:space="preserve"> Multi-carrier operation based on both co-located and non-co-located assumption should be considered as a typical deployment scenarios for synchronization signal/channel design.</w:t>
      </w:r>
    </w:p>
    <w:p w:rsidR="00193851" w:rsidRDefault="00193851" w:rsidP="00193851">
      <w:pPr>
        <w:snapToGrid w:val="0"/>
        <w:spacing w:before="120" w:after="120"/>
        <w:rPr>
          <w:i/>
          <w:sz w:val="20"/>
        </w:rPr>
      </w:pPr>
      <w:r w:rsidRPr="005C4A5F">
        <w:rPr>
          <w:b/>
          <w:bCs/>
          <w:i/>
          <w:sz w:val="20"/>
        </w:rPr>
        <w:t>Observation 1</w:t>
      </w:r>
      <w:r w:rsidR="00117B1F">
        <w:rPr>
          <w:b/>
          <w:bCs/>
          <w:i/>
          <w:sz w:val="20"/>
        </w:rPr>
        <w:t>2</w:t>
      </w:r>
      <w:r w:rsidRPr="00193851">
        <w:rPr>
          <w:b/>
          <w:bCs/>
          <w:i/>
          <w:sz w:val="20"/>
        </w:rPr>
        <w:t>:</w:t>
      </w:r>
      <w:r w:rsidRPr="00193851">
        <w:rPr>
          <w:i/>
          <w:sz w:val="20"/>
        </w:rPr>
        <w:t xml:space="preserve"> The following pain-point(s) for 5G NR are identified due to the absence of cell-free/mTRP operation starting from initial access:</w:t>
      </w:r>
    </w:p>
    <w:p w:rsidR="00193851" w:rsidRDefault="00193851" w:rsidP="00193851">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Heavy NW and UE energy consumption.</w:t>
      </w:r>
    </w:p>
    <w:p w:rsidR="00193851" w:rsidRDefault="00193851" w:rsidP="00193851">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Inconsistent/poor UE experience for early-stage data transmission.</w:t>
      </w:r>
    </w:p>
    <w:p w:rsidR="00193851" w:rsidRDefault="00193851" w:rsidP="00193851">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UE-perceived handover interruption in high-speed mobility.</w:t>
      </w:r>
    </w:p>
    <w:p w:rsidR="0051539D" w:rsidRPr="00BA0E2D" w:rsidRDefault="0051539D" w:rsidP="00BA0E2D">
      <w:pPr>
        <w:snapToGrid w:val="0"/>
        <w:spacing w:before="120" w:after="120"/>
        <w:rPr>
          <w:i/>
          <w:sz w:val="20"/>
        </w:rPr>
      </w:pPr>
      <w:r w:rsidRPr="00BA0E2D">
        <w:rPr>
          <w:b/>
          <w:bCs/>
          <w:i/>
          <w:sz w:val="20"/>
        </w:rPr>
        <w:t>Proposal 10:</w:t>
      </w:r>
      <w:r w:rsidRPr="00BA0E2D">
        <w:rPr>
          <w:i/>
          <w:sz w:val="20"/>
        </w:rPr>
        <w:t xml:space="preserve"> Cell-free/</w:t>
      </w:r>
      <w:r w:rsidR="00FB0D9C">
        <w:rPr>
          <w:i/>
          <w:sz w:val="20"/>
        </w:rPr>
        <w:t>m</w:t>
      </w:r>
      <w:r w:rsidRPr="00BA0E2D">
        <w:rPr>
          <w:i/>
          <w:sz w:val="20"/>
        </w:rPr>
        <w:t xml:space="preserve">TRP operation should be considered as a typical deployment scenario for synchronization signal/channel design and </w:t>
      </w:r>
      <w:r w:rsidRPr="00BA0E2D">
        <w:rPr>
          <w:rFonts w:hint="eastAsia"/>
          <w:i/>
          <w:sz w:val="20"/>
        </w:rPr>
        <w:t>system</w:t>
      </w:r>
      <w:r w:rsidRPr="00BA0E2D">
        <w:rPr>
          <w:i/>
          <w:sz w:val="20"/>
        </w:rPr>
        <w:t xml:space="preserve"> information </w:t>
      </w:r>
      <w:r w:rsidRPr="00BA0E2D">
        <w:rPr>
          <w:rFonts w:hint="eastAsia"/>
          <w:i/>
          <w:sz w:val="20"/>
        </w:rPr>
        <w:t>acquisition</w:t>
      </w:r>
      <w:r w:rsidRPr="00BA0E2D">
        <w:rPr>
          <w:i/>
          <w:sz w:val="20"/>
        </w:rPr>
        <w:t>.</w:t>
      </w:r>
    </w:p>
    <w:p w:rsidR="00193851" w:rsidRDefault="00193851" w:rsidP="00193851">
      <w:pPr>
        <w:snapToGrid w:val="0"/>
        <w:spacing w:before="120" w:after="120" w:line="240" w:lineRule="exact"/>
        <w:textAlignment w:val="center"/>
        <w:rPr>
          <w:i/>
          <w:sz w:val="20"/>
          <w:szCs w:val="18"/>
          <w:lang w:bidi="ar"/>
        </w:rPr>
      </w:pPr>
      <w:r w:rsidRPr="005C4A5F">
        <w:rPr>
          <w:b/>
          <w:i/>
          <w:sz w:val="20"/>
          <w:lang w:bidi="ar"/>
        </w:rPr>
        <w:t>Proposal</w:t>
      </w:r>
      <w:r w:rsidRPr="005C4A5F">
        <w:rPr>
          <w:b/>
          <w:bCs/>
          <w:i/>
          <w:sz w:val="20"/>
          <w:lang w:bidi="ar"/>
        </w:rPr>
        <w:t xml:space="preserve"> </w:t>
      </w:r>
      <w:r w:rsidRPr="005C4A5F">
        <w:rPr>
          <w:rFonts w:hint="eastAsia"/>
          <w:b/>
          <w:i/>
          <w:sz w:val="20"/>
          <w:lang w:bidi="ar"/>
        </w:rPr>
        <w:t>11</w:t>
      </w:r>
      <w:r w:rsidRPr="00193851">
        <w:rPr>
          <w:b/>
          <w:bCs/>
          <w:i/>
          <w:sz w:val="20"/>
          <w:lang w:bidi="ar"/>
        </w:rPr>
        <w:t>:</w:t>
      </w:r>
      <w:r w:rsidRPr="00193851">
        <w:rPr>
          <w:b/>
          <w:i/>
          <w:sz w:val="20"/>
          <w:lang w:bidi="ar"/>
        </w:rPr>
        <w:t xml:space="preserve"> </w:t>
      </w:r>
      <w:r w:rsidRPr="005C4A5F">
        <w:rPr>
          <w:bCs/>
          <w:i/>
          <w:sz w:val="20"/>
          <w:lang w:bidi="ar"/>
        </w:rPr>
        <w:t xml:space="preserve">For </w:t>
      </w:r>
      <w:r w:rsidRPr="005C4A5F">
        <w:rPr>
          <w:rFonts w:hint="eastAsia"/>
          <w:bCs/>
          <w:i/>
          <w:sz w:val="20"/>
          <w:lang w:bidi="ar"/>
        </w:rPr>
        <w:t>cell-free/mTRP operation enabled starting from the initial access phase</w:t>
      </w:r>
      <w:r w:rsidRPr="005C4A5F">
        <w:rPr>
          <w:bCs/>
          <w:i/>
          <w:sz w:val="20"/>
          <w:szCs w:val="18"/>
          <w:lang w:bidi="ar"/>
        </w:rPr>
        <w:t xml:space="preserve">, </w:t>
      </w:r>
      <w:r w:rsidRPr="005C4A5F">
        <w:rPr>
          <w:rFonts w:hint="eastAsia"/>
          <w:i/>
          <w:sz w:val="20"/>
          <w:szCs w:val="18"/>
          <w:lang w:bidi="ar"/>
        </w:rPr>
        <w:t>SSBs from different TRPs within a cell-cluster shall be transmitted in CDM manner in addition to TDM and FDM to reduce access latency or energy consumption, where</w:t>
      </w:r>
    </w:p>
    <w:p w:rsidR="005B0EA3" w:rsidRDefault="005B0EA3" w:rsidP="005B0EA3">
      <w:pPr>
        <w:numPr>
          <w:ilvl w:val="0"/>
          <w:numId w:val="18"/>
        </w:numPr>
        <w:snapToGrid w:val="0"/>
        <w:spacing w:beforeLines="0" w:before="120" w:afterLines="0" w:after="120" w:line="240" w:lineRule="exact"/>
        <w:textAlignment w:val="center"/>
        <w:rPr>
          <w:i/>
          <w:sz w:val="20"/>
          <w:szCs w:val="18"/>
          <w:lang w:bidi="ar"/>
        </w:rPr>
      </w:pPr>
      <w:r>
        <w:rPr>
          <w:i/>
          <w:sz w:val="20"/>
          <w:szCs w:val="18"/>
          <w:lang w:bidi="ar"/>
        </w:rPr>
        <w:t>C</w:t>
      </w:r>
      <w:r>
        <w:rPr>
          <w:rFonts w:hint="eastAsia"/>
          <w:i/>
          <w:sz w:val="20"/>
          <w:szCs w:val="18"/>
          <w:lang w:bidi="ar"/>
        </w:rPr>
        <w:t>ell-cluster ID and TRP ID associated with a cell-cluster ID are determined by PSS/SSS sequence.</w:t>
      </w:r>
    </w:p>
    <w:p w:rsidR="00193851" w:rsidRPr="00BA0E2D" w:rsidRDefault="00193851" w:rsidP="00BA0E2D">
      <w:pPr>
        <w:snapToGrid w:val="0"/>
        <w:spacing w:before="120" w:after="120" w:line="288" w:lineRule="auto"/>
        <w:rPr>
          <w:kern w:val="0"/>
          <w:sz w:val="20"/>
          <w:lang w:bidi="ar"/>
        </w:rPr>
      </w:pPr>
      <w:r w:rsidRPr="00BA0E2D">
        <w:rPr>
          <w:b/>
          <w:i/>
          <w:sz w:val="20"/>
          <w:lang w:bidi="ar"/>
        </w:rPr>
        <w:t xml:space="preserve">Proposal </w:t>
      </w:r>
      <w:r w:rsidRPr="00BA0E2D">
        <w:rPr>
          <w:rFonts w:hint="eastAsia"/>
          <w:b/>
          <w:i/>
          <w:sz w:val="20"/>
          <w:lang w:bidi="ar"/>
        </w:rPr>
        <w:t>12</w:t>
      </w:r>
      <w:r w:rsidRPr="00BA0E2D">
        <w:rPr>
          <w:b/>
          <w:i/>
          <w:sz w:val="20"/>
          <w:lang w:bidi="ar"/>
        </w:rPr>
        <w:t xml:space="preserve">: </w:t>
      </w:r>
      <w:r w:rsidRPr="00BA0E2D">
        <w:rPr>
          <w:bCs/>
          <w:i/>
          <w:sz w:val="20"/>
          <w:lang w:bidi="ar"/>
        </w:rPr>
        <w:t xml:space="preserve">For </w:t>
      </w:r>
      <w:r w:rsidRPr="00BA0E2D">
        <w:rPr>
          <w:rFonts w:hint="eastAsia"/>
          <w:bCs/>
          <w:i/>
          <w:sz w:val="20"/>
          <w:lang w:bidi="ar"/>
        </w:rPr>
        <w:t>cell-free/mTRP operation enabled starting from the initial access phase</w:t>
      </w:r>
      <w:r w:rsidRPr="00BA0E2D">
        <w:rPr>
          <w:bCs/>
          <w:i/>
          <w:sz w:val="20"/>
          <w:lang w:bidi="ar"/>
        </w:rPr>
        <w:t>, configuration information (e.g., SSB related configuration, RO related configuration, etc) related to TRP(s) within a cell-cluster can be provided by SIB</w:t>
      </w:r>
      <w:r w:rsidRPr="00BA0E2D">
        <w:rPr>
          <w:rFonts w:hint="eastAsia"/>
          <w:bCs/>
          <w:i/>
          <w:sz w:val="20"/>
          <w:lang w:bidi="ar"/>
        </w:rPr>
        <w:t xml:space="preserve">, where </w:t>
      </w:r>
      <w:r w:rsidRPr="00BA0E2D">
        <w:rPr>
          <w:bCs/>
          <w:i/>
          <w:sz w:val="20"/>
          <w:lang w:bidi="ar"/>
        </w:rPr>
        <w:t>PDSCH carrying SIB is scheduled by PDCCH in PBCH</w:t>
      </w:r>
      <w:r w:rsidRPr="00BA0E2D">
        <w:rPr>
          <w:rFonts w:hint="eastAsia"/>
          <w:bCs/>
          <w:i/>
          <w:sz w:val="20"/>
          <w:lang w:bidi="ar"/>
        </w:rPr>
        <w:t xml:space="preserve"> of the detected SSB</w:t>
      </w:r>
    </w:p>
    <w:p w:rsidR="00193851" w:rsidRDefault="00193851" w:rsidP="00193851">
      <w:pPr>
        <w:snapToGrid w:val="0"/>
        <w:spacing w:before="120" w:after="120"/>
        <w:rPr>
          <w:i/>
          <w:sz w:val="20"/>
        </w:rPr>
      </w:pPr>
      <w:r>
        <w:rPr>
          <w:b/>
          <w:bCs/>
          <w:i/>
          <w:sz w:val="20"/>
        </w:rPr>
        <w:t xml:space="preserve">Proposal </w:t>
      </w:r>
      <w:r>
        <w:rPr>
          <w:rFonts w:hint="eastAsia"/>
          <w:b/>
          <w:bCs/>
          <w:i/>
          <w:sz w:val="20"/>
        </w:rPr>
        <w:t>13</w:t>
      </w:r>
      <w:r>
        <w:rPr>
          <w:b/>
          <w:bCs/>
          <w:i/>
          <w:sz w:val="20"/>
        </w:rPr>
        <w:t xml:space="preserve">: </w:t>
      </w:r>
      <w:r>
        <w:rPr>
          <w:rFonts w:hint="eastAsia"/>
          <w:i/>
          <w:sz w:val="20"/>
        </w:rPr>
        <w:t>On-demand SSB transmission mechanis</w:t>
      </w:r>
      <w:r>
        <w:rPr>
          <w:i/>
          <w:sz w:val="20"/>
        </w:rPr>
        <w:t xml:space="preserve">m </w:t>
      </w:r>
      <w:r>
        <w:rPr>
          <w:rFonts w:hint="eastAsia"/>
          <w:i/>
          <w:sz w:val="20"/>
        </w:rPr>
        <w:t>in RRC</w:t>
      </w:r>
      <w:r>
        <w:rPr>
          <w:i/>
          <w:sz w:val="20"/>
        </w:rPr>
        <w:t>-</w:t>
      </w:r>
      <w:r>
        <w:rPr>
          <w:rFonts w:hint="eastAsia"/>
          <w:i/>
          <w:sz w:val="20"/>
        </w:rPr>
        <w:t>connected state can be studied in 6GR.</w:t>
      </w:r>
    </w:p>
    <w:p w:rsidR="00C920B9" w:rsidRDefault="00C920B9" w:rsidP="00C920B9">
      <w:pPr>
        <w:numPr>
          <w:ilvl w:val="255"/>
          <w:numId w:val="0"/>
        </w:numPr>
        <w:spacing w:before="120" w:after="120" w:line="240" w:lineRule="auto"/>
        <w:rPr>
          <w:i/>
          <w:sz w:val="20"/>
        </w:rPr>
      </w:pPr>
      <w:r>
        <w:rPr>
          <w:b/>
          <w:bCs/>
          <w:i/>
          <w:sz w:val="20"/>
        </w:rPr>
        <w:t xml:space="preserve">Proposal </w:t>
      </w:r>
      <w:r>
        <w:rPr>
          <w:rFonts w:hint="eastAsia"/>
          <w:b/>
          <w:bCs/>
          <w:i/>
          <w:sz w:val="20"/>
        </w:rPr>
        <w:t>14</w:t>
      </w:r>
      <w:r>
        <w:rPr>
          <w:b/>
          <w:bCs/>
          <w:i/>
          <w:sz w:val="20"/>
        </w:rPr>
        <w:t>:</w:t>
      </w:r>
      <w:r>
        <w:rPr>
          <w:i/>
          <w:sz w:val="20"/>
        </w:rPr>
        <w:t xml:space="preserve"> T</w:t>
      </w:r>
      <w:r>
        <w:rPr>
          <w:rFonts w:hint="eastAsia"/>
          <w:i/>
          <w:sz w:val="20"/>
        </w:rPr>
        <w:t>h</w:t>
      </w:r>
      <w:r>
        <w:rPr>
          <w:i/>
          <w:sz w:val="20"/>
        </w:rPr>
        <w:t xml:space="preserve">e SSB-based operation is considered as the baseline </w:t>
      </w:r>
      <w:r>
        <w:rPr>
          <w:rFonts w:hint="eastAsia"/>
          <w:i/>
          <w:sz w:val="20"/>
        </w:rPr>
        <w:t>for</w:t>
      </w:r>
      <w:r>
        <w:rPr>
          <w:i/>
          <w:sz w:val="20"/>
        </w:rPr>
        <w:t xml:space="preserve"> initial access</w:t>
      </w:r>
      <w:r>
        <w:rPr>
          <w:rFonts w:hint="eastAsia"/>
          <w:i/>
          <w:sz w:val="20"/>
        </w:rPr>
        <w:t xml:space="preserve"> stage</w:t>
      </w:r>
      <w:r>
        <w:rPr>
          <w:i/>
          <w:sz w:val="20"/>
        </w:rPr>
        <w:t>.</w:t>
      </w:r>
    </w:p>
    <w:p w:rsidR="00C920B9" w:rsidRPr="003659E1" w:rsidRDefault="00C920B9" w:rsidP="00C920B9">
      <w:pPr>
        <w:numPr>
          <w:ilvl w:val="0"/>
          <w:numId w:val="18"/>
        </w:numPr>
        <w:tabs>
          <w:tab w:val="left" w:pos="420"/>
        </w:tabs>
        <w:snapToGrid w:val="0"/>
        <w:spacing w:before="120" w:afterLines="0" w:after="120" w:line="240" w:lineRule="exact"/>
        <w:textAlignment w:val="center"/>
        <w:rPr>
          <w:i/>
          <w:sz w:val="20"/>
          <w:szCs w:val="18"/>
          <w:lang w:bidi="ar"/>
        </w:rPr>
      </w:pPr>
      <w:r w:rsidRPr="00145A66">
        <w:rPr>
          <w:i/>
          <w:sz w:val="20"/>
          <w:szCs w:val="18"/>
          <w:lang w:bidi="ar"/>
        </w:rPr>
        <w:t xml:space="preserve">Whether to introduce </w:t>
      </w:r>
      <w:r w:rsidRPr="008B6C6F">
        <w:rPr>
          <w:i/>
          <w:sz w:val="20"/>
          <w:szCs w:val="18"/>
          <w:lang w:bidi="ar"/>
        </w:rPr>
        <w:t xml:space="preserve">other RSs, e.g., CSI-RS, </w:t>
      </w:r>
      <w:r w:rsidRPr="004541ED">
        <w:rPr>
          <w:i/>
          <w:sz w:val="20"/>
          <w:szCs w:val="18"/>
          <w:lang w:bidi="ar"/>
        </w:rPr>
        <w:t>at this stage requires carefully evaluation and study</w:t>
      </w:r>
      <w:r w:rsidRPr="00696543">
        <w:rPr>
          <w:i/>
          <w:sz w:val="20"/>
          <w:szCs w:val="18"/>
          <w:lang w:bidi="ar"/>
        </w:rPr>
        <w:t xml:space="preserve"> unless clear requirements and motivations are identified.</w:t>
      </w:r>
    </w:p>
    <w:p w:rsidR="001554A1" w:rsidRDefault="00FE1B65">
      <w:pPr>
        <w:pStyle w:val="TOC1"/>
        <w:tabs>
          <w:tab w:val="left" w:pos="1282"/>
        </w:tabs>
        <w:snapToGrid w:val="0"/>
        <w:spacing w:before="120" w:after="120"/>
        <w:jc w:val="center"/>
        <w:rPr>
          <w:b w:val="0"/>
          <w:bCs w:val="0"/>
          <w:u w:val="single"/>
        </w:rPr>
      </w:pPr>
      <w:r>
        <w:rPr>
          <w:bCs w:val="0"/>
          <w:i w:val="0"/>
          <w:u w:val="single"/>
        </w:rPr>
        <w:t xml:space="preserve">DL common channel </w:t>
      </w:r>
    </w:p>
    <w:p w:rsidR="00193851" w:rsidRDefault="00193851" w:rsidP="00193851">
      <w:pPr>
        <w:snapToGrid w:val="0"/>
        <w:spacing w:before="120" w:after="120"/>
        <w:rPr>
          <w:sz w:val="20"/>
          <w:highlight w:val="yellow"/>
        </w:rPr>
      </w:pPr>
      <w:r>
        <w:rPr>
          <w:b/>
          <w:bCs/>
          <w:i/>
          <w:sz w:val="20"/>
        </w:rPr>
        <w:lastRenderedPageBreak/>
        <w:t>Observation 1</w:t>
      </w:r>
      <w:r w:rsidR="006B6346">
        <w:rPr>
          <w:b/>
          <w:bCs/>
          <w:i/>
          <w:sz w:val="20"/>
        </w:rPr>
        <w:t>3</w:t>
      </w:r>
      <w:r>
        <w:rPr>
          <w:b/>
          <w:bCs/>
          <w:i/>
          <w:sz w:val="20"/>
        </w:rPr>
        <w:t>:</w:t>
      </w:r>
      <w:r>
        <w:rPr>
          <w:bCs/>
          <w:i/>
          <w:iCs/>
          <w:sz w:val="20"/>
        </w:rPr>
        <w:t xml:space="preserve"> </w:t>
      </w:r>
      <w:r>
        <w:rPr>
          <w:rFonts w:hint="eastAsia"/>
          <w:bCs/>
          <w:i/>
          <w:iCs/>
          <w:sz w:val="20"/>
        </w:rPr>
        <w:t>The independent time-domain sweeping transmission patterns of different DL common signals/channels are not conducive to network energy saving and the realization of NTN beam hopping.</w:t>
      </w:r>
    </w:p>
    <w:p w:rsidR="00193851" w:rsidRDefault="00193851" w:rsidP="00193851">
      <w:pPr>
        <w:snapToGrid w:val="0"/>
        <w:spacing w:before="120" w:after="120"/>
        <w:rPr>
          <w:bCs/>
          <w:i/>
          <w:sz w:val="20"/>
        </w:rPr>
      </w:pPr>
      <w:r>
        <w:rPr>
          <w:b/>
          <w:bCs/>
          <w:i/>
          <w:sz w:val="20"/>
        </w:rPr>
        <w:t>Proposal 1</w:t>
      </w:r>
      <w:r>
        <w:rPr>
          <w:rFonts w:hint="eastAsia"/>
          <w:b/>
          <w:bCs/>
          <w:i/>
          <w:sz w:val="20"/>
        </w:rPr>
        <w:t>5</w:t>
      </w:r>
      <w:r>
        <w:rPr>
          <w:b/>
          <w:bCs/>
          <w:i/>
          <w:sz w:val="20"/>
        </w:rPr>
        <w:t xml:space="preserve">: </w:t>
      </w:r>
      <w:r w:rsidR="008C6D28">
        <w:rPr>
          <w:bCs/>
          <w:i/>
          <w:sz w:val="20"/>
        </w:rPr>
        <w:t>C</w:t>
      </w:r>
      <w:r>
        <w:rPr>
          <w:bCs/>
          <w:i/>
          <w:sz w:val="20"/>
        </w:rPr>
        <w:t xml:space="preserve">ompact DL common </w:t>
      </w:r>
      <w:r>
        <w:rPr>
          <w:rFonts w:hint="eastAsia"/>
          <w:bCs/>
          <w:i/>
          <w:sz w:val="20"/>
        </w:rPr>
        <w:t>signals/</w:t>
      </w:r>
      <w:r>
        <w:rPr>
          <w:bCs/>
          <w:i/>
          <w:sz w:val="20"/>
        </w:rPr>
        <w:t>channel</w:t>
      </w:r>
      <w:r>
        <w:rPr>
          <w:rFonts w:hint="eastAsia"/>
          <w:bCs/>
          <w:i/>
          <w:sz w:val="20"/>
        </w:rPr>
        <w:t>s</w:t>
      </w:r>
      <w:r>
        <w:rPr>
          <w:bCs/>
          <w:i/>
          <w:sz w:val="20"/>
        </w:rPr>
        <w:t xml:space="preserve"> design should be studied in 6G.</w:t>
      </w:r>
    </w:p>
    <w:p w:rsidR="00193851" w:rsidRDefault="00193851" w:rsidP="00193851">
      <w:pPr>
        <w:snapToGrid w:val="0"/>
        <w:spacing w:before="120" w:after="120"/>
        <w:rPr>
          <w:bCs/>
          <w:i/>
          <w:sz w:val="20"/>
        </w:rPr>
      </w:pPr>
      <w:r>
        <w:rPr>
          <w:b/>
          <w:bCs/>
          <w:i/>
          <w:sz w:val="20"/>
        </w:rPr>
        <w:t>Proposal 1</w:t>
      </w:r>
      <w:r>
        <w:rPr>
          <w:rFonts w:hint="eastAsia"/>
          <w:b/>
          <w:bCs/>
          <w:i/>
          <w:sz w:val="20"/>
        </w:rPr>
        <w:t>6</w:t>
      </w:r>
      <w:r>
        <w:rPr>
          <w:b/>
          <w:bCs/>
          <w:i/>
          <w:sz w:val="20"/>
        </w:rPr>
        <w:t xml:space="preserve">: </w:t>
      </w:r>
      <w:r w:rsidR="008C6D28">
        <w:rPr>
          <w:bCs/>
          <w:i/>
          <w:sz w:val="20"/>
        </w:rPr>
        <w:t>S</w:t>
      </w:r>
      <w:r>
        <w:rPr>
          <w:bCs/>
          <w:i/>
          <w:sz w:val="20"/>
        </w:rPr>
        <w:t>calable BWP/CORESET operation should be studied in 6G.</w:t>
      </w:r>
    </w:p>
    <w:p w:rsidR="000C1E7B" w:rsidRDefault="000C1E7B" w:rsidP="000C1E7B">
      <w:pPr>
        <w:pStyle w:val="TOC1"/>
        <w:tabs>
          <w:tab w:val="left" w:pos="1282"/>
        </w:tabs>
        <w:snapToGrid w:val="0"/>
        <w:spacing w:before="120" w:after="120"/>
        <w:jc w:val="center"/>
        <w:rPr>
          <w:b w:val="0"/>
          <w:bCs w:val="0"/>
          <w:u w:val="single"/>
        </w:rPr>
      </w:pPr>
      <w:r>
        <w:rPr>
          <w:bCs w:val="0"/>
          <w:i w:val="0"/>
          <w:u w:val="single"/>
        </w:rPr>
        <w:t>M</w:t>
      </w:r>
      <w:r>
        <w:rPr>
          <w:rFonts w:hint="eastAsia"/>
          <w:bCs w:val="0"/>
          <w:i w:val="0"/>
          <w:u w:val="single"/>
        </w:rPr>
        <w:t>obility</w:t>
      </w:r>
    </w:p>
    <w:p w:rsidR="001D29AC" w:rsidRDefault="001D29AC" w:rsidP="001D29AC">
      <w:pPr>
        <w:snapToGrid w:val="0"/>
        <w:spacing w:before="120" w:after="120"/>
        <w:rPr>
          <w:bCs/>
          <w:i/>
          <w:sz w:val="20"/>
        </w:rPr>
      </w:pPr>
      <w:r w:rsidRPr="005C4A5F">
        <w:rPr>
          <w:b/>
          <w:i/>
          <w:sz w:val="20"/>
          <w:lang w:bidi="ar"/>
        </w:rPr>
        <w:t xml:space="preserve">Proposal </w:t>
      </w:r>
      <w:r w:rsidRPr="005C4A5F">
        <w:rPr>
          <w:rFonts w:hint="eastAsia"/>
          <w:b/>
          <w:i/>
          <w:sz w:val="20"/>
          <w:lang w:bidi="ar"/>
        </w:rPr>
        <w:t>17</w:t>
      </w:r>
      <w:r w:rsidRPr="005C4A5F">
        <w:rPr>
          <w:b/>
          <w:i/>
          <w:sz w:val="20"/>
          <w:lang w:bidi="ar"/>
        </w:rPr>
        <w:t>:</w:t>
      </w:r>
      <w:r w:rsidRPr="000C1E7B">
        <w:rPr>
          <w:bCs/>
          <w:i/>
          <w:sz w:val="20"/>
          <w:lang w:bidi="ar"/>
        </w:rPr>
        <w:t xml:space="preserve"> </w:t>
      </w:r>
      <w:r w:rsidRPr="000C1E7B">
        <w:rPr>
          <w:rFonts w:hint="eastAsia"/>
          <w:bCs/>
          <w:i/>
          <w:sz w:val="20"/>
          <w:lang w:bidi="ar"/>
        </w:rPr>
        <w:t>In 6G</w:t>
      </w:r>
      <w:r w:rsidRPr="000C1E7B">
        <w:rPr>
          <w:bCs/>
          <w:i/>
          <w:sz w:val="20"/>
          <w:lang w:bidi="ar"/>
        </w:rPr>
        <w:t xml:space="preserve"> day-1</w:t>
      </w:r>
      <w:r w:rsidRPr="000C1E7B">
        <w:rPr>
          <w:rFonts w:hint="eastAsia"/>
          <w:bCs/>
          <w:i/>
          <w:sz w:val="20"/>
          <w:lang w:bidi="ar"/>
        </w:rPr>
        <w:t>,</w:t>
      </w:r>
      <w:r w:rsidRPr="000C1E7B">
        <w:rPr>
          <w:bCs/>
          <w:i/>
          <w:sz w:val="20"/>
          <w:lang w:bidi="ar"/>
        </w:rPr>
        <w:t xml:space="preserve"> L1/L2-triggered </w:t>
      </w:r>
      <w:r w:rsidRPr="000C1E7B">
        <w:rPr>
          <w:rFonts w:hint="eastAsia"/>
          <w:bCs/>
          <w:i/>
          <w:sz w:val="20"/>
          <w:lang w:bidi="ar"/>
        </w:rPr>
        <w:t>measurement</w:t>
      </w:r>
      <w:r w:rsidRPr="00FC26E7">
        <w:rPr>
          <w:bCs/>
          <w:i/>
          <w:sz w:val="20"/>
          <w:lang w:bidi="ar"/>
        </w:rPr>
        <w:t xml:space="preserve">, </w:t>
      </w:r>
      <w:r w:rsidRPr="00FC26E7">
        <w:rPr>
          <w:rFonts w:hint="eastAsia"/>
          <w:bCs/>
          <w:i/>
          <w:sz w:val="20"/>
          <w:lang w:bidi="ar"/>
        </w:rPr>
        <w:t xml:space="preserve">reporting </w:t>
      </w:r>
      <w:r w:rsidRPr="00FC26E7">
        <w:rPr>
          <w:bCs/>
          <w:i/>
          <w:sz w:val="20"/>
          <w:lang w:bidi="ar"/>
        </w:rPr>
        <w:t xml:space="preserve">and indication/switching </w:t>
      </w:r>
      <w:r w:rsidRPr="00FC26E7">
        <w:rPr>
          <w:rFonts w:hint="eastAsia"/>
          <w:bCs/>
          <w:i/>
          <w:sz w:val="20"/>
          <w:lang w:bidi="ar"/>
        </w:rPr>
        <w:t xml:space="preserve">framework </w:t>
      </w:r>
      <w:r w:rsidRPr="00FC26E7">
        <w:rPr>
          <w:bCs/>
          <w:i/>
          <w:sz w:val="20"/>
          <w:lang w:bidi="ar"/>
        </w:rPr>
        <w:t xml:space="preserve">unifying both ‘beam management and TRP operation under a cell cluster’ and ‘L1/L2-triggering mobility among cell-clusters’ </w:t>
      </w:r>
      <w:r w:rsidRPr="00193851">
        <w:rPr>
          <w:rFonts w:hint="eastAsia"/>
          <w:bCs/>
          <w:i/>
          <w:sz w:val="20"/>
          <w:lang w:bidi="ar"/>
        </w:rPr>
        <w:t>should be supported to accommodate inter-TRP</w:t>
      </w:r>
      <w:r w:rsidRPr="002815AB">
        <w:rPr>
          <w:bCs/>
          <w:i/>
          <w:sz w:val="20"/>
          <w:lang w:bidi="ar"/>
        </w:rPr>
        <w:t xml:space="preserve"> operation</w:t>
      </w:r>
      <w:r w:rsidRPr="00797447">
        <w:rPr>
          <w:rFonts w:hint="eastAsia"/>
          <w:bCs/>
          <w:i/>
          <w:sz w:val="20"/>
          <w:lang w:bidi="ar"/>
        </w:rPr>
        <w:t xml:space="preserve"> within a cell cluster beam management and inter-cell cluster handover.</w:t>
      </w:r>
      <w:r>
        <w:rPr>
          <w:bCs/>
          <w:i/>
          <w:sz w:val="20"/>
          <w:lang w:bidi="ar"/>
        </w:rPr>
        <w:t xml:space="preserve"> </w:t>
      </w:r>
    </w:p>
    <w:p w:rsidR="00517384" w:rsidRPr="005C4A5F" w:rsidRDefault="00517384" w:rsidP="00517384">
      <w:pPr>
        <w:snapToGrid w:val="0"/>
        <w:spacing w:before="120" w:after="120"/>
        <w:rPr>
          <w:bCs/>
          <w:i/>
          <w:sz w:val="20"/>
          <w:lang w:bidi="ar"/>
        </w:rPr>
      </w:pPr>
      <w:r w:rsidRPr="005C4A5F">
        <w:rPr>
          <w:b/>
          <w:i/>
          <w:sz w:val="20"/>
          <w:lang w:bidi="ar"/>
        </w:rPr>
        <w:t xml:space="preserve">Proposal </w:t>
      </w:r>
      <w:r w:rsidRPr="005C4A5F">
        <w:rPr>
          <w:rFonts w:hint="eastAsia"/>
          <w:b/>
          <w:i/>
          <w:sz w:val="20"/>
          <w:lang w:bidi="ar"/>
        </w:rPr>
        <w:t>1</w:t>
      </w:r>
      <w:r w:rsidRPr="005C4A5F">
        <w:rPr>
          <w:b/>
          <w:i/>
          <w:sz w:val="20"/>
          <w:lang w:bidi="ar"/>
        </w:rPr>
        <w:t>8:</w:t>
      </w:r>
      <w:r w:rsidRPr="00517384">
        <w:rPr>
          <w:bCs/>
          <w:i/>
          <w:sz w:val="20"/>
          <w:lang w:bidi="ar"/>
        </w:rPr>
        <w:t xml:space="preserve"> </w:t>
      </w:r>
      <w:r w:rsidRPr="005C4A5F">
        <w:rPr>
          <w:rFonts w:hint="eastAsia"/>
          <w:bCs/>
          <w:i/>
          <w:sz w:val="20"/>
          <w:lang w:bidi="ar"/>
        </w:rPr>
        <w:t xml:space="preserve">For inter-cell cluster handover in 6GR, </w:t>
      </w:r>
    </w:p>
    <w:p w:rsidR="00517384" w:rsidRPr="005C4A5F" w:rsidRDefault="002B36FE" w:rsidP="00517384">
      <w:pPr>
        <w:numPr>
          <w:ilvl w:val="0"/>
          <w:numId w:val="18"/>
        </w:numPr>
        <w:snapToGrid w:val="0"/>
        <w:spacing w:beforeLines="0" w:before="120" w:afterLines="0" w:after="120" w:line="240" w:lineRule="exact"/>
        <w:textAlignment w:val="center"/>
        <w:rPr>
          <w:bCs/>
          <w:i/>
          <w:sz w:val="20"/>
          <w:lang w:bidi="ar"/>
        </w:rPr>
      </w:pPr>
      <w:r>
        <w:rPr>
          <w:bCs/>
          <w:i/>
          <w:sz w:val="20"/>
          <w:lang w:bidi="ar"/>
        </w:rPr>
        <w:t>S</w:t>
      </w:r>
      <w:r w:rsidR="00517384" w:rsidRPr="005C4A5F">
        <w:rPr>
          <w:rFonts w:hint="eastAsia"/>
          <w:bCs/>
          <w:i/>
          <w:sz w:val="20"/>
          <w:lang w:bidi="ar"/>
        </w:rPr>
        <w:t xml:space="preserve">tudy aspects related to inter-cell cluster handover, e.g., RRC based pre-configuration, early DL/UL sync, early TCI state activation, early CSI acquisition, etc. </w:t>
      </w:r>
    </w:p>
    <w:p w:rsidR="001554A1" w:rsidRDefault="00FE1B65">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1554A1" w:rsidRPr="00013648" w:rsidRDefault="00FE1B65">
      <w:pPr>
        <w:pStyle w:val="References"/>
        <w:snapToGrid w:val="0"/>
        <w:spacing w:before="120" w:after="120" w:line="260" w:lineRule="auto"/>
        <w:ind w:left="363" w:hanging="363"/>
        <w:rPr>
          <w:bCs/>
          <w:sz w:val="20"/>
          <w:szCs w:val="20"/>
        </w:rPr>
      </w:pPr>
      <w:bookmarkStart w:id="7" w:name="_Ref205756399"/>
      <w:r w:rsidRPr="00013648">
        <w:rPr>
          <w:bCs/>
          <w:sz w:val="20"/>
          <w:szCs w:val="20"/>
        </w:rPr>
        <w:t>RP-251881, New SID: Study on 6G Radio, NTT DOCOMO (Moderator)</w:t>
      </w:r>
      <w:bookmarkEnd w:id="7"/>
      <w:r w:rsidRPr="00013648">
        <w:rPr>
          <w:rFonts w:hint="eastAsia"/>
          <w:bCs/>
          <w:sz w:val="20"/>
          <w:szCs w:val="20"/>
        </w:rPr>
        <w:t>.</w:t>
      </w:r>
    </w:p>
    <w:p w:rsidR="001554A1" w:rsidRPr="00013648" w:rsidRDefault="00FE1B65">
      <w:pPr>
        <w:pStyle w:val="References"/>
        <w:snapToGrid w:val="0"/>
        <w:spacing w:before="120" w:after="120" w:line="260" w:lineRule="auto"/>
        <w:ind w:left="363" w:hanging="363"/>
        <w:rPr>
          <w:bCs/>
          <w:sz w:val="20"/>
          <w:szCs w:val="20"/>
        </w:rPr>
      </w:pPr>
      <w:bookmarkStart w:id="8" w:name="_Ref220668908"/>
      <w:r w:rsidRPr="00013648">
        <w:rPr>
          <w:bCs/>
          <w:sz w:val="20"/>
          <w:szCs w:val="20"/>
        </w:rPr>
        <w:t xml:space="preserve">R1-2600262, </w:t>
      </w:r>
      <w:r w:rsidRPr="00013648">
        <w:rPr>
          <w:bCs/>
          <w:sz w:val="20"/>
          <w:szCs w:val="20"/>
          <w:lang w:bidi="ar"/>
        </w:rPr>
        <w:t>Views on general aspects and frameworks</w:t>
      </w:r>
      <w:r w:rsidRPr="00013648">
        <w:rPr>
          <w:bCs/>
          <w:sz w:val="20"/>
          <w:szCs w:val="20"/>
        </w:rPr>
        <w:t>, ZTE Corporation, Sanechips.</w:t>
      </w:r>
      <w:bookmarkStart w:id="9" w:name="_Ref220157828"/>
      <w:bookmarkEnd w:id="8"/>
    </w:p>
    <w:p w:rsidR="001554A1" w:rsidRPr="00013648" w:rsidRDefault="00FE1B65">
      <w:pPr>
        <w:pStyle w:val="References"/>
        <w:snapToGrid w:val="0"/>
        <w:spacing w:before="120" w:after="120" w:line="260" w:lineRule="auto"/>
        <w:ind w:left="363" w:hanging="363"/>
        <w:rPr>
          <w:bCs/>
          <w:sz w:val="20"/>
          <w:szCs w:val="20"/>
        </w:rPr>
      </w:pPr>
      <w:bookmarkStart w:id="10" w:name="_Ref220157842"/>
      <w:bookmarkEnd w:id="9"/>
      <w:r w:rsidRPr="00013648">
        <w:rPr>
          <w:bCs/>
          <w:sz w:val="20"/>
          <w:szCs w:val="20"/>
        </w:rPr>
        <w:t>RAN#110_draft_MeetingReport, RAN Chair</w:t>
      </w:r>
      <w:r w:rsidRPr="00013648">
        <w:rPr>
          <w:rFonts w:hint="eastAsia"/>
          <w:bCs/>
          <w:sz w:val="20"/>
          <w:szCs w:val="20"/>
        </w:rPr>
        <w:t>.</w:t>
      </w:r>
      <w:bookmarkEnd w:id="10"/>
    </w:p>
    <w:p w:rsidR="001554A1" w:rsidRPr="00013648" w:rsidRDefault="00FE1B65">
      <w:pPr>
        <w:pStyle w:val="References"/>
        <w:snapToGrid w:val="0"/>
        <w:spacing w:before="120" w:after="120" w:line="260" w:lineRule="auto"/>
        <w:ind w:left="363" w:hanging="363"/>
        <w:rPr>
          <w:bCs/>
          <w:sz w:val="20"/>
          <w:szCs w:val="20"/>
        </w:rPr>
      </w:pPr>
      <w:bookmarkStart w:id="11" w:name="_Ref220157849"/>
      <w:r w:rsidRPr="00013648">
        <w:rPr>
          <w:rFonts w:hint="eastAsia"/>
          <w:bCs/>
          <w:sz w:val="20"/>
          <w:szCs w:val="20"/>
        </w:rPr>
        <w:t>RAN1#12</w:t>
      </w:r>
      <w:r w:rsidRPr="00013648">
        <w:rPr>
          <w:bCs/>
          <w:sz w:val="20"/>
          <w:szCs w:val="20"/>
        </w:rPr>
        <w:t>3</w:t>
      </w:r>
      <w:r w:rsidRPr="00013648">
        <w:rPr>
          <w:rFonts w:hint="eastAsia"/>
          <w:bCs/>
          <w:sz w:val="20"/>
          <w:szCs w:val="20"/>
        </w:rPr>
        <w:t xml:space="preserve"> chairman notes.</w:t>
      </w:r>
      <w:bookmarkEnd w:id="11"/>
    </w:p>
    <w:p w:rsidR="001554A1" w:rsidRPr="00013648" w:rsidRDefault="00FE1B65">
      <w:pPr>
        <w:pStyle w:val="References"/>
        <w:snapToGrid w:val="0"/>
        <w:spacing w:before="120" w:after="120" w:line="260" w:lineRule="auto"/>
        <w:ind w:left="363" w:hanging="363"/>
        <w:rPr>
          <w:bCs/>
          <w:sz w:val="20"/>
          <w:szCs w:val="20"/>
        </w:rPr>
      </w:pPr>
      <w:bookmarkStart w:id="12" w:name="_Ref220157861"/>
      <w:r w:rsidRPr="00013648">
        <w:rPr>
          <w:bCs/>
          <w:sz w:val="20"/>
          <w:szCs w:val="20"/>
          <w:lang w:val="de-DE"/>
        </w:rPr>
        <w:t>R1-2508823</w:t>
      </w:r>
      <w:r w:rsidRPr="00013648">
        <w:rPr>
          <w:bCs/>
          <w:sz w:val="20"/>
          <w:szCs w:val="20"/>
        </w:rPr>
        <w:t>, Discussion on energy efficiency for 6GR, ZTE Corporation, Sanechips</w:t>
      </w:r>
      <w:r w:rsidRPr="00013648">
        <w:rPr>
          <w:rFonts w:hint="eastAsia"/>
          <w:bCs/>
          <w:sz w:val="20"/>
          <w:szCs w:val="20"/>
        </w:rPr>
        <w:t>.</w:t>
      </w:r>
      <w:bookmarkEnd w:id="12"/>
    </w:p>
    <w:p w:rsidR="001554A1" w:rsidRPr="00013648" w:rsidRDefault="00FE1B65">
      <w:pPr>
        <w:pStyle w:val="References"/>
        <w:snapToGrid w:val="0"/>
        <w:spacing w:before="120" w:after="120" w:line="260" w:lineRule="auto"/>
        <w:ind w:left="363" w:hanging="363"/>
        <w:rPr>
          <w:bCs/>
          <w:sz w:val="20"/>
          <w:szCs w:val="20"/>
        </w:rPr>
      </w:pPr>
      <w:bookmarkStart w:id="13" w:name="_Ref220157872"/>
      <w:r w:rsidRPr="00013648">
        <w:rPr>
          <w:sz w:val="20"/>
          <w:szCs w:val="20"/>
        </w:rPr>
        <w:t>Draft Report of 3GPP TSG RAN WG1 #117 v0.2.0</w:t>
      </w:r>
      <w:r w:rsidRPr="00013648">
        <w:rPr>
          <w:rFonts w:hint="eastAsia"/>
          <w:sz w:val="20"/>
          <w:szCs w:val="20"/>
        </w:rPr>
        <w:t>.</w:t>
      </w:r>
      <w:bookmarkEnd w:id="13"/>
    </w:p>
    <w:p w:rsidR="001554A1" w:rsidRPr="00013648" w:rsidRDefault="00FE1B65">
      <w:pPr>
        <w:pStyle w:val="References"/>
        <w:snapToGrid w:val="0"/>
        <w:spacing w:before="120" w:after="120" w:line="260" w:lineRule="auto"/>
        <w:ind w:left="363" w:hanging="363"/>
        <w:rPr>
          <w:bCs/>
          <w:sz w:val="20"/>
          <w:szCs w:val="20"/>
        </w:rPr>
      </w:pPr>
      <w:bookmarkStart w:id="14" w:name="_Ref220157882"/>
      <w:r w:rsidRPr="00013648">
        <w:rPr>
          <w:sz w:val="20"/>
          <w:szCs w:val="20"/>
        </w:rPr>
        <w:t>Draft Report of 3GPP TSG RAN WG1 #118 v0.3.0</w:t>
      </w:r>
      <w:r w:rsidRPr="00013648">
        <w:rPr>
          <w:rFonts w:hint="eastAsia"/>
          <w:sz w:val="20"/>
          <w:szCs w:val="20"/>
        </w:rPr>
        <w:t>.</w:t>
      </w:r>
      <w:bookmarkEnd w:id="14"/>
    </w:p>
    <w:p w:rsidR="001554A1" w:rsidRPr="00013648" w:rsidRDefault="00FE1B65">
      <w:pPr>
        <w:pStyle w:val="References"/>
        <w:snapToGrid w:val="0"/>
        <w:spacing w:before="120" w:after="120" w:line="260" w:lineRule="auto"/>
        <w:ind w:left="363" w:hanging="363"/>
        <w:rPr>
          <w:bCs/>
          <w:sz w:val="20"/>
          <w:szCs w:val="20"/>
        </w:rPr>
      </w:pPr>
      <w:bookmarkStart w:id="15" w:name="_Ref220158419"/>
      <w:r w:rsidRPr="00013648">
        <w:rPr>
          <w:bCs/>
          <w:sz w:val="20"/>
          <w:szCs w:val="20"/>
        </w:rPr>
        <w:t>R1-2600264, Discussion on PRACH and RACH procedure, ZTE Corporation, Sanechips</w:t>
      </w:r>
      <w:r w:rsidRPr="00013648">
        <w:rPr>
          <w:rFonts w:hint="eastAsia"/>
          <w:bCs/>
          <w:sz w:val="20"/>
          <w:szCs w:val="20"/>
        </w:rPr>
        <w:t>.</w:t>
      </w:r>
      <w:bookmarkEnd w:id="15"/>
    </w:p>
    <w:p w:rsidR="001554A1" w:rsidRPr="00013648" w:rsidRDefault="00FE1B65">
      <w:pPr>
        <w:pStyle w:val="References"/>
        <w:snapToGrid w:val="0"/>
        <w:spacing w:before="120" w:after="120" w:line="260" w:lineRule="auto"/>
        <w:ind w:left="363" w:hanging="363"/>
        <w:rPr>
          <w:bCs/>
          <w:sz w:val="20"/>
          <w:szCs w:val="20"/>
        </w:rPr>
      </w:pPr>
      <w:r w:rsidRPr="00013648">
        <w:rPr>
          <w:rFonts w:hint="eastAsia"/>
          <w:sz w:val="20"/>
          <w:szCs w:val="20"/>
        </w:rPr>
        <w:t>R1-2600459</w:t>
      </w:r>
      <w:r w:rsidRPr="00013648">
        <w:rPr>
          <w:bCs/>
          <w:sz w:val="20"/>
          <w:szCs w:val="20"/>
        </w:rPr>
        <w:t xml:space="preserve">, </w:t>
      </w:r>
      <w:r w:rsidRPr="00013648">
        <w:rPr>
          <w:rFonts w:hint="eastAsia"/>
          <w:sz w:val="20"/>
          <w:szCs w:val="20"/>
        </w:rPr>
        <w:t>Discuss on UL WUS and operation</w:t>
      </w:r>
      <w:r w:rsidRPr="00013648">
        <w:rPr>
          <w:bCs/>
          <w:sz w:val="20"/>
          <w:szCs w:val="20"/>
        </w:rPr>
        <w:t>, ZTE Corporation, Sanechips</w:t>
      </w:r>
      <w:r w:rsidRPr="00013648">
        <w:rPr>
          <w:rFonts w:hint="eastAsia"/>
          <w:bCs/>
          <w:sz w:val="20"/>
          <w:szCs w:val="20"/>
        </w:rPr>
        <w:t>.</w:t>
      </w:r>
    </w:p>
    <w:p w:rsidR="001554A1" w:rsidRPr="00013648" w:rsidRDefault="00FE1B65">
      <w:pPr>
        <w:pStyle w:val="References"/>
        <w:snapToGrid w:val="0"/>
        <w:spacing w:before="120" w:after="120" w:line="260" w:lineRule="auto"/>
        <w:ind w:left="363" w:hanging="363"/>
        <w:rPr>
          <w:bCs/>
          <w:sz w:val="20"/>
          <w:szCs w:val="20"/>
        </w:rPr>
      </w:pPr>
      <w:bookmarkStart w:id="16" w:name="_Ref220161089"/>
      <w:r w:rsidRPr="00013648">
        <w:rPr>
          <w:bCs/>
          <w:sz w:val="20"/>
          <w:szCs w:val="20"/>
        </w:rPr>
        <w:t>R1-26</w:t>
      </w:r>
      <w:r w:rsidRPr="00013648">
        <w:rPr>
          <w:rFonts w:hint="eastAsia"/>
          <w:bCs/>
          <w:sz w:val="20"/>
          <w:szCs w:val="20"/>
        </w:rPr>
        <w:t>00265</w:t>
      </w:r>
      <w:r w:rsidRPr="00013648">
        <w:rPr>
          <w:bCs/>
          <w:sz w:val="20"/>
          <w:szCs w:val="20"/>
        </w:rPr>
        <w:t>, Bandwidth operation, ZTE Corporation, Sanechips</w:t>
      </w:r>
      <w:r w:rsidRPr="00013648">
        <w:rPr>
          <w:rFonts w:hint="eastAsia"/>
          <w:bCs/>
          <w:sz w:val="20"/>
          <w:szCs w:val="20"/>
        </w:rPr>
        <w:t>.</w:t>
      </w:r>
      <w:bookmarkEnd w:id="16"/>
    </w:p>
    <w:p w:rsidR="001554A1" w:rsidRPr="00013648" w:rsidRDefault="00FE1B65">
      <w:pPr>
        <w:pStyle w:val="References"/>
        <w:snapToGrid w:val="0"/>
        <w:spacing w:before="120" w:after="120" w:line="260" w:lineRule="auto"/>
        <w:ind w:left="363" w:hanging="363"/>
        <w:rPr>
          <w:bCs/>
          <w:sz w:val="20"/>
          <w:szCs w:val="20"/>
        </w:rPr>
      </w:pPr>
      <w:bookmarkStart w:id="17" w:name="_Ref220599051"/>
      <w:r w:rsidRPr="00013648">
        <w:rPr>
          <w:bCs/>
          <w:sz w:val="20"/>
          <w:szCs w:val="20"/>
        </w:rPr>
        <w:t>R1-2600227, Discussion on evaluation assumptions for 6GR air interface, ZTE Corporation, Sanechips</w:t>
      </w:r>
      <w:r w:rsidRPr="00013648">
        <w:rPr>
          <w:rFonts w:hint="eastAsia"/>
          <w:bCs/>
          <w:sz w:val="20"/>
          <w:szCs w:val="20"/>
        </w:rPr>
        <w:t>.</w:t>
      </w:r>
      <w:bookmarkEnd w:id="17"/>
    </w:p>
    <w:p w:rsidR="001554A1" w:rsidRPr="00013648" w:rsidRDefault="00FE1B65">
      <w:pPr>
        <w:pStyle w:val="References"/>
        <w:snapToGrid w:val="0"/>
        <w:spacing w:before="120" w:after="120" w:line="260" w:lineRule="auto"/>
        <w:ind w:left="363" w:hanging="363"/>
        <w:rPr>
          <w:bCs/>
          <w:sz w:val="20"/>
          <w:szCs w:val="20"/>
        </w:rPr>
      </w:pPr>
      <w:bookmarkStart w:id="18" w:name="_Ref220599193"/>
      <w:r w:rsidRPr="00013648">
        <w:rPr>
          <w:bCs/>
          <w:sz w:val="20"/>
          <w:szCs w:val="20"/>
        </w:rPr>
        <w:t>R1-2600230, Discussion on beam management for downlink and uplink, ZTE Corporation, Sanechips</w:t>
      </w:r>
      <w:bookmarkEnd w:id="18"/>
    </w:p>
    <w:p w:rsidR="001554A1" w:rsidRPr="00013648" w:rsidRDefault="00FE1B65">
      <w:pPr>
        <w:pStyle w:val="References"/>
        <w:snapToGrid w:val="0"/>
        <w:spacing w:before="120" w:after="120" w:line="260" w:lineRule="auto"/>
        <w:ind w:left="363" w:hanging="363"/>
        <w:rPr>
          <w:bCs/>
          <w:sz w:val="20"/>
          <w:szCs w:val="20"/>
        </w:rPr>
      </w:pPr>
      <w:bookmarkStart w:id="19" w:name="_Ref220599194"/>
      <w:r w:rsidRPr="00013648">
        <w:rPr>
          <w:bCs/>
          <w:sz w:val="20"/>
          <w:szCs w:val="20"/>
        </w:rPr>
        <w:t>R1-2600231, Discussion on aspects of downlink-based CSI acquisition, ZTE Corporation, Sanechips</w:t>
      </w:r>
      <w:bookmarkEnd w:id="19"/>
    </w:p>
    <w:sectPr w:rsidR="001554A1" w:rsidRPr="00013648">
      <w:headerReference w:type="even" r:id="rId28"/>
      <w:headerReference w:type="default" r:id="rId29"/>
      <w:footerReference w:type="even" r:id="rId30"/>
      <w:footerReference w:type="default" r:id="rId31"/>
      <w:headerReference w:type="first" r:id="rId32"/>
      <w:footerReference w:type="first" r:id="rId3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E12" w:rsidRDefault="003B2E12">
      <w:pPr>
        <w:spacing w:before="120" w:after="120" w:line="240" w:lineRule="auto"/>
      </w:pPr>
      <w:r>
        <w:separator/>
      </w:r>
    </w:p>
  </w:endnote>
  <w:endnote w:type="continuationSeparator" w:id="0">
    <w:p w:rsidR="003B2E12" w:rsidRDefault="003B2E1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EA7EC9" w:rsidRDefault="00EA7EC9">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EA7EC9" w:rsidRDefault="00EA7EC9">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E12" w:rsidRDefault="003B2E12">
      <w:pPr>
        <w:spacing w:before="120" w:after="120"/>
      </w:pPr>
      <w:r>
        <w:separator/>
      </w:r>
    </w:p>
  </w:footnote>
  <w:footnote w:type="continuationSeparator" w:id="0">
    <w:p w:rsidR="003B2E12" w:rsidRDefault="003B2E1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EC9" w:rsidRDefault="00EA7EC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5B6FF6"/>
    <w:multiLevelType w:val="singleLevel"/>
    <w:tmpl w:val="885B6FF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2" w15:restartNumberingAfterBreak="0">
    <w:nsid w:val="9C603250"/>
    <w:multiLevelType w:val="singleLevel"/>
    <w:tmpl w:val="9C60325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01BCD8D"/>
    <w:multiLevelType w:val="singleLevel"/>
    <w:tmpl w:val="B01BCD8D"/>
    <w:lvl w:ilvl="0">
      <w:start w:val="1"/>
      <w:numFmt w:val="bullet"/>
      <w:lvlText w:val="•"/>
      <w:lvlJc w:val="left"/>
      <w:pPr>
        <w:ind w:left="420" w:hanging="420"/>
      </w:pPr>
      <w:rPr>
        <w:rFonts w:ascii="Arial" w:hAnsi="Arial" w:cs="Arial" w:hint="default"/>
      </w:rPr>
    </w:lvl>
  </w:abstractNum>
  <w:abstractNum w:abstractNumId="5"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079D3358"/>
    <w:multiLevelType w:val="multilevel"/>
    <w:tmpl w:val="079D3358"/>
    <w:lvl w:ilvl="0">
      <w:start w:val="1"/>
      <w:numFmt w:val="bullet"/>
      <w:lvlText w:val=""/>
      <w:lvlJc w:val="left"/>
      <w:pPr>
        <w:tabs>
          <w:tab w:val="left" w:pos="0"/>
        </w:tabs>
        <w:ind w:left="846" w:hanging="42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A34043E"/>
    <w:multiLevelType w:val="singleLevel"/>
    <w:tmpl w:val="4A34043E"/>
    <w:lvl w:ilvl="0">
      <w:start w:val="1"/>
      <w:numFmt w:val="bullet"/>
      <w:lvlText w:val="•"/>
      <w:lvlJc w:val="left"/>
      <w:pPr>
        <w:ind w:left="420" w:hanging="420"/>
      </w:pPr>
      <w:rPr>
        <w:rFonts w:ascii="Arial" w:hAnsi="Arial" w:cs="Arial"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BA5B178"/>
    <w:multiLevelType w:val="singleLevel"/>
    <w:tmpl w:val="5BA5B178"/>
    <w:lvl w:ilvl="0">
      <w:start w:val="1"/>
      <w:numFmt w:val="bullet"/>
      <w:lvlText w:val="-"/>
      <w:lvlJc w:val="left"/>
      <w:pPr>
        <w:tabs>
          <w:tab w:val="left" w:pos="420"/>
        </w:tabs>
        <w:ind w:left="840" w:hanging="420"/>
      </w:pPr>
      <w:rPr>
        <w:rFonts w:ascii="Arial" w:hAnsi="Arial" w:cs="Arial"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E52286A"/>
    <w:multiLevelType w:val="multilevel"/>
    <w:tmpl w:val="5E522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BD0A30"/>
    <w:multiLevelType w:val="singleLevel"/>
    <w:tmpl w:val="60BD0A30"/>
    <w:lvl w:ilvl="0">
      <w:start w:val="1"/>
      <w:numFmt w:val="bullet"/>
      <w:lvlText w:val="•"/>
      <w:lvlJc w:val="left"/>
      <w:pPr>
        <w:ind w:left="420" w:hanging="420"/>
      </w:pPr>
      <w:rPr>
        <w:rFonts w:ascii="Arial" w:hAnsi="Arial" w:cs="Arial" w:hint="default"/>
      </w:rPr>
    </w:lvl>
  </w:abstractNum>
  <w:abstractNum w:abstractNumId="16"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7"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8"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0"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3"/>
  </w:num>
  <w:num w:numId="3">
    <w:abstractNumId w:val="5"/>
  </w:num>
  <w:num w:numId="4">
    <w:abstractNumId w:val="13"/>
  </w:num>
  <w:num w:numId="5">
    <w:abstractNumId w:val="19"/>
  </w:num>
  <w:num w:numId="6">
    <w:abstractNumId w:val="11"/>
  </w:num>
  <w:num w:numId="7">
    <w:abstractNumId w:val="7"/>
  </w:num>
  <w:num w:numId="8">
    <w:abstractNumId w:val="15"/>
  </w:num>
  <w:num w:numId="9">
    <w:abstractNumId w:val="18"/>
  </w:num>
  <w:num w:numId="10">
    <w:abstractNumId w:val="17"/>
  </w:num>
  <w:num w:numId="11">
    <w:abstractNumId w:val="16"/>
  </w:num>
  <w:num w:numId="12">
    <w:abstractNumId w:val="21"/>
  </w:num>
  <w:num w:numId="13">
    <w:abstractNumId w:val="2"/>
  </w:num>
  <w:num w:numId="14">
    <w:abstractNumId w:val="20"/>
  </w:num>
  <w:num w:numId="15">
    <w:abstractNumId w:val="6"/>
  </w:num>
  <w:num w:numId="16">
    <w:abstractNumId w:val="8"/>
  </w:num>
  <w:num w:numId="17">
    <w:abstractNumId w:val="4"/>
  </w:num>
  <w:num w:numId="18">
    <w:abstractNumId w:val="1"/>
  </w:num>
  <w:num w:numId="19">
    <w:abstractNumId w:val="12"/>
  </w:num>
  <w:num w:numId="20">
    <w:abstractNumId w:val="10"/>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234"/>
    <w:rsid w:val="00005E7D"/>
    <w:rsid w:val="000066C7"/>
    <w:rsid w:val="00006998"/>
    <w:rsid w:val="00010584"/>
    <w:rsid w:val="00011C97"/>
    <w:rsid w:val="00011E45"/>
    <w:rsid w:val="000121FF"/>
    <w:rsid w:val="000134E1"/>
    <w:rsid w:val="00013648"/>
    <w:rsid w:val="00013E91"/>
    <w:rsid w:val="00014072"/>
    <w:rsid w:val="000142CD"/>
    <w:rsid w:val="00014876"/>
    <w:rsid w:val="00014F18"/>
    <w:rsid w:val="00015B30"/>
    <w:rsid w:val="00016054"/>
    <w:rsid w:val="00016F6C"/>
    <w:rsid w:val="00017B22"/>
    <w:rsid w:val="0002017C"/>
    <w:rsid w:val="0002087F"/>
    <w:rsid w:val="000208EA"/>
    <w:rsid w:val="00021079"/>
    <w:rsid w:val="00022004"/>
    <w:rsid w:val="000226FD"/>
    <w:rsid w:val="00022B42"/>
    <w:rsid w:val="0002331E"/>
    <w:rsid w:val="000237DC"/>
    <w:rsid w:val="00025F8B"/>
    <w:rsid w:val="00027885"/>
    <w:rsid w:val="000334E3"/>
    <w:rsid w:val="00033EE4"/>
    <w:rsid w:val="00035AAF"/>
    <w:rsid w:val="00037104"/>
    <w:rsid w:val="00037A62"/>
    <w:rsid w:val="000411A4"/>
    <w:rsid w:val="000426DF"/>
    <w:rsid w:val="00043F7E"/>
    <w:rsid w:val="00044AE0"/>
    <w:rsid w:val="000452ED"/>
    <w:rsid w:val="00045C5C"/>
    <w:rsid w:val="0004753E"/>
    <w:rsid w:val="00047A95"/>
    <w:rsid w:val="00050423"/>
    <w:rsid w:val="00051EB6"/>
    <w:rsid w:val="00051F4E"/>
    <w:rsid w:val="00052026"/>
    <w:rsid w:val="0005233A"/>
    <w:rsid w:val="00052692"/>
    <w:rsid w:val="000529AC"/>
    <w:rsid w:val="00053DFF"/>
    <w:rsid w:val="0005431A"/>
    <w:rsid w:val="00054E97"/>
    <w:rsid w:val="00055FF9"/>
    <w:rsid w:val="0005629E"/>
    <w:rsid w:val="00056470"/>
    <w:rsid w:val="000571CE"/>
    <w:rsid w:val="0005774F"/>
    <w:rsid w:val="0005786E"/>
    <w:rsid w:val="00057DB1"/>
    <w:rsid w:val="00060042"/>
    <w:rsid w:val="0006166C"/>
    <w:rsid w:val="00061865"/>
    <w:rsid w:val="00061D23"/>
    <w:rsid w:val="00061F9F"/>
    <w:rsid w:val="000622C3"/>
    <w:rsid w:val="000623F9"/>
    <w:rsid w:val="000639A3"/>
    <w:rsid w:val="00063DEE"/>
    <w:rsid w:val="000642BD"/>
    <w:rsid w:val="00064F64"/>
    <w:rsid w:val="00065196"/>
    <w:rsid w:val="000662DE"/>
    <w:rsid w:val="0006664F"/>
    <w:rsid w:val="000674FC"/>
    <w:rsid w:val="00067E2F"/>
    <w:rsid w:val="00070CC2"/>
    <w:rsid w:val="00072960"/>
    <w:rsid w:val="00072FB0"/>
    <w:rsid w:val="00074553"/>
    <w:rsid w:val="000752C0"/>
    <w:rsid w:val="00076C1E"/>
    <w:rsid w:val="00076FF8"/>
    <w:rsid w:val="0007785C"/>
    <w:rsid w:val="0008065E"/>
    <w:rsid w:val="00080DA2"/>
    <w:rsid w:val="0008270E"/>
    <w:rsid w:val="00083317"/>
    <w:rsid w:val="00083F65"/>
    <w:rsid w:val="00085CCE"/>
    <w:rsid w:val="00087A9D"/>
    <w:rsid w:val="00091168"/>
    <w:rsid w:val="000915BC"/>
    <w:rsid w:val="00091A60"/>
    <w:rsid w:val="000920B5"/>
    <w:rsid w:val="0009212C"/>
    <w:rsid w:val="00092329"/>
    <w:rsid w:val="00092598"/>
    <w:rsid w:val="00092861"/>
    <w:rsid w:val="00093082"/>
    <w:rsid w:val="00093DF3"/>
    <w:rsid w:val="000942FC"/>
    <w:rsid w:val="000950EF"/>
    <w:rsid w:val="00095735"/>
    <w:rsid w:val="000977E6"/>
    <w:rsid w:val="00097A77"/>
    <w:rsid w:val="000A0C34"/>
    <w:rsid w:val="000A0FB4"/>
    <w:rsid w:val="000A15BE"/>
    <w:rsid w:val="000A3D47"/>
    <w:rsid w:val="000A3FBB"/>
    <w:rsid w:val="000A4F73"/>
    <w:rsid w:val="000A733C"/>
    <w:rsid w:val="000B1006"/>
    <w:rsid w:val="000B204A"/>
    <w:rsid w:val="000B20C3"/>
    <w:rsid w:val="000B27C2"/>
    <w:rsid w:val="000B2BDA"/>
    <w:rsid w:val="000B2F74"/>
    <w:rsid w:val="000B3500"/>
    <w:rsid w:val="000B4A16"/>
    <w:rsid w:val="000B4E61"/>
    <w:rsid w:val="000B4F2E"/>
    <w:rsid w:val="000B61B6"/>
    <w:rsid w:val="000B6E07"/>
    <w:rsid w:val="000B7341"/>
    <w:rsid w:val="000B75C2"/>
    <w:rsid w:val="000B786D"/>
    <w:rsid w:val="000B7CA2"/>
    <w:rsid w:val="000C0D41"/>
    <w:rsid w:val="000C0E32"/>
    <w:rsid w:val="000C1A96"/>
    <w:rsid w:val="000C1E7B"/>
    <w:rsid w:val="000C2821"/>
    <w:rsid w:val="000C3B29"/>
    <w:rsid w:val="000C3F46"/>
    <w:rsid w:val="000C4EA1"/>
    <w:rsid w:val="000C5A4B"/>
    <w:rsid w:val="000C5EFD"/>
    <w:rsid w:val="000C6A9D"/>
    <w:rsid w:val="000C6B4C"/>
    <w:rsid w:val="000C71B5"/>
    <w:rsid w:val="000D016D"/>
    <w:rsid w:val="000D0462"/>
    <w:rsid w:val="000D06D2"/>
    <w:rsid w:val="000D145C"/>
    <w:rsid w:val="000D23EF"/>
    <w:rsid w:val="000D328A"/>
    <w:rsid w:val="000D3306"/>
    <w:rsid w:val="000D3EBF"/>
    <w:rsid w:val="000D66E4"/>
    <w:rsid w:val="000D6E88"/>
    <w:rsid w:val="000D7DA8"/>
    <w:rsid w:val="000E035A"/>
    <w:rsid w:val="000E03C0"/>
    <w:rsid w:val="000E16E6"/>
    <w:rsid w:val="000E2433"/>
    <w:rsid w:val="000E252C"/>
    <w:rsid w:val="000E4CC0"/>
    <w:rsid w:val="000E4FBF"/>
    <w:rsid w:val="000E5CD3"/>
    <w:rsid w:val="000E731B"/>
    <w:rsid w:val="000E754A"/>
    <w:rsid w:val="000F03F9"/>
    <w:rsid w:val="000F06E7"/>
    <w:rsid w:val="000F0927"/>
    <w:rsid w:val="000F1707"/>
    <w:rsid w:val="000F248E"/>
    <w:rsid w:val="000F28CA"/>
    <w:rsid w:val="000F2AF9"/>
    <w:rsid w:val="000F2B7A"/>
    <w:rsid w:val="000F3B1B"/>
    <w:rsid w:val="000F3B32"/>
    <w:rsid w:val="000F3FC5"/>
    <w:rsid w:val="000F3FE4"/>
    <w:rsid w:val="000F451B"/>
    <w:rsid w:val="000F4992"/>
    <w:rsid w:val="000F4CCB"/>
    <w:rsid w:val="000F5C65"/>
    <w:rsid w:val="000F6B48"/>
    <w:rsid w:val="000F7D7E"/>
    <w:rsid w:val="0010093D"/>
    <w:rsid w:val="00101A32"/>
    <w:rsid w:val="00101C56"/>
    <w:rsid w:val="00101D77"/>
    <w:rsid w:val="00101EB2"/>
    <w:rsid w:val="00103906"/>
    <w:rsid w:val="00105126"/>
    <w:rsid w:val="001065F9"/>
    <w:rsid w:val="001074A2"/>
    <w:rsid w:val="00110812"/>
    <w:rsid w:val="00111775"/>
    <w:rsid w:val="00111793"/>
    <w:rsid w:val="00111A17"/>
    <w:rsid w:val="00111ECB"/>
    <w:rsid w:val="00115474"/>
    <w:rsid w:val="00115607"/>
    <w:rsid w:val="00116D8E"/>
    <w:rsid w:val="00117B1F"/>
    <w:rsid w:val="001203FB"/>
    <w:rsid w:val="00120609"/>
    <w:rsid w:val="00120679"/>
    <w:rsid w:val="001215E6"/>
    <w:rsid w:val="00121AA6"/>
    <w:rsid w:val="001226E6"/>
    <w:rsid w:val="00125A2E"/>
    <w:rsid w:val="001261A7"/>
    <w:rsid w:val="0012638F"/>
    <w:rsid w:val="00126C81"/>
    <w:rsid w:val="00127960"/>
    <w:rsid w:val="00131384"/>
    <w:rsid w:val="001331F4"/>
    <w:rsid w:val="001334D9"/>
    <w:rsid w:val="00134F9E"/>
    <w:rsid w:val="001360BB"/>
    <w:rsid w:val="00136964"/>
    <w:rsid w:val="00136DD8"/>
    <w:rsid w:val="0014130E"/>
    <w:rsid w:val="001413E6"/>
    <w:rsid w:val="00141B88"/>
    <w:rsid w:val="00142961"/>
    <w:rsid w:val="00142DC0"/>
    <w:rsid w:val="001437FC"/>
    <w:rsid w:val="00143907"/>
    <w:rsid w:val="001439F2"/>
    <w:rsid w:val="001459B3"/>
    <w:rsid w:val="00145C2C"/>
    <w:rsid w:val="0014606E"/>
    <w:rsid w:val="001470AA"/>
    <w:rsid w:val="00150421"/>
    <w:rsid w:val="00151CA3"/>
    <w:rsid w:val="0015207F"/>
    <w:rsid w:val="00152275"/>
    <w:rsid w:val="00153BF7"/>
    <w:rsid w:val="00154082"/>
    <w:rsid w:val="00154FB5"/>
    <w:rsid w:val="001554A1"/>
    <w:rsid w:val="0015556A"/>
    <w:rsid w:val="001558DB"/>
    <w:rsid w:val="001561A8"/>
    <w:rsid w:val="001566C8"/>
    <w:rsid w:val="00157BFD"/>
    <w:rsid w:val="00160264"/>
    <w:rsid w:val="00160AA8"/>
    <w:rsid w:val="0016113B"/>
    <w:rsid w:val="001619F4"/>
    <w:rsid w:val="00162EFE"/>
    <w:rsid w:val="0016311A"/>
    <w:rsid w:val="001632AB"/>
    <w:rsid w:val="00163E33"/>
    <w:rsid w:val="001645EE"/>
    <w:rsid w:val="0016604F"/>
    <w:rsid w:val="0017009B"/>
    <w:rsid w:val="0017231D"/>
    <w:rsid w:val="001725A8"/>
    <w:rsid w:val="00172A27"/>
    <w:rsid w:val="00172CF7"/>
    <w:rsid w:val="0017310B"/>
    <w:rsid w:val="00173878"/>
    <w:rsid w:val="001745AA"/>
    <w:rsid w:val="001754AE"/>
    <w:rsid w:val="001764C9"/>
    <w:rsid w:val="0017658A"/>
    <w:rsid w:val="00176BCF"/>
    <w:rsid w:val="00180410"/>
    <w:rsid w:val="00180FBE"/>
    <w:rsid w:val="00181ACD"/>
    <w:rsid w:val="0018216B"/>
    <w:rsid w:val="001827D4"/>
    <w:rsid w:val="00182FBD"/>
    <w:rsid w:val="0018307C"/>
    <w:rsid w:val="001834E4"/>
    <w:rsid w:val="0018404C"/>
    <w:rsid w:val="00185206"/>
    <w:rsid w:val="00185908"/>
    <w:rsid w:val="00185A60"/>
    <w:rsid w:val="0018732E"/>
    <w:rsid w:val="00190CD0"/>
    <w:rsid w:val="00191912"/>
    <w:rsid w:val="00191952"/>
    <w:rsid w:val="00193843"/>
    <w:rsid w:val="00193851"/>
    <w:rsid w:val="0019451B"/>
    <w:rsid w:val="001948EC"/>
    <w:rsid w:val="00195F46"/>
    <w:rsid w:val="00196132"/>
    <w:rsid w:val="00196765"/>
    <w:rsid w:val="001969D1"/>
    <w:rsid w:val="00197E86"/>
    <w:rsid w:val="001A02EC"/>
    <w:rsid w:val="001A0398"/>
    <w:rsid w:val="001A0AD4"/>
    <w:rsid w:val="001A10AF"/>
    <w:rsid w:val="001A34E0"/>
    <w:rsid w:val="001A36AA"/>
    <w:rsid w:val="001A3A90"/>
    <w:rsid w:val="001A4645"/>
    <w:rsid w:val="001A51F8"/>
    <w:rsid w:val="001A56C7"/>
    <w:rsid w:val="001A664F"/>
    <w:rsid w:val="001B2696"/>
    <w:rsid w:val="001B3634"/>
    <w:rsid w:val="001B4E55"/>
    <w:rsid w:val="001B54CA"/>
    <w:rsid w:val="001B5B36"/>
    <w:rsid w:val="001B63B3"/>
    <w:rsid w:val="001B6BAE"/>
    <w:rsid w:val="001B715D"/>
    <w:rsid w:val="001B7524"/>
    <w:rsid w:val="001B753D"/>
    <w:rsid w:val="001B77B1"/>
    <w:rsid w:val="001C0BD3"/>
    <w:rsid w:val="001C1894"/>
    <w:rsid w:val="001C196F"/>
    <w:rsid w:val="001C34D4"/>
    <w:rsid w:val="001C36A0"/>
    <w:rsid w:val="001C43F5"/>
    <w:rsid w:val="001C4C53"/>
    <w:rsid w:val="001C50DD"/>
    <w:rsid w:val="001C5582"/>
    <w:rsid w:val="001C6969"/>
    <w:rsid w:val="001C6A3E"/>
    <w:rsid w:val="001C6EF1"/>
    <w:rsid w:val="001C763B"/>
    <w:rsid w:val="001D10FB"/>
    <w:rsid w:val="001D1287"/>
    <w:rsid w:val="001D12A8"/>
    <w:rsid w:val="001D1D3A"/>
    <w:rsid w:val="001D29AC"/>
    <w:rsid w:val="001D29B4"/>
    <w:rsid w:val="001D41E1"/>
    <w:rsid w:val="001D514A"/>
    <w:rsid w:val="001D5C44"/>
    <w:rsid w:val="001D5FA3"/>
    <w:rsid w:val="001D6B5B"/>
    <w:rsid w:val="001D718A"/>
    <w:rsid w:val="001D7787"/>
    <w:rsid w:val="001E04E9"/>
    <w:rsid w:val="001E0E05"/>
    <w:rsid w:val="001E125B"/>
    <w:rsid w:val="001E18FC"/>
    <w:rsid w:val="001E1FD5"/>
    <w:rsid w:val="001E20C5"/>
    <w:rsid w:val="001E262F"/>
    <w:rsid w:val="001E27B5"/>
    <w:rsid w:val="001E3189"/>
    <w:rsid w:val="001E3D59"/>
    <w:rsid w:val="001E44B4"/>
    <w:rsid w:val="001E5FA6"/>
    <w:rsid w:val="001E6B48"/>
    <w:rsid w:val="001F164F"/>
    <w:rsid w:val="001F1BB1"/>
    <w:rsid w:val="001F1D36"/>
    <w:rsid w:val="001F1FD0"/>
    <w:rsid w:val="001F2BA2"/>
    <w:rsid w:val="001F415E"/>
    <w:rsid w:val="001F4EF2"/>
    <w:rsid w:val="001F521D"/>
    <w:rsid w:val="001F5AA5"/>
    <w:rsid w:val="001F5E53"/>
    <w:rsid w:val="001F668D"/>
    <w:rsid w:val="001F6E58"/>
    <w:rsid w:val="001F7289"/>
    <w:rsid w:val="00200328"/>
    <w:rsid w:val="002008EA"/>
    <w:rsid w:val="00201584"/>
    <w:rsid w:val="00201936"/>
    <w:rsid w:val="00201CA8"/>
    <w:rsid w:val="002021D8"/>
    <w:rsid w:val="002031CB"/>
    <w:rsid w:val="0020406B"/>
    <w:rsid w:val="00204508"/>
    <w:rsid w:val="00204C29"/>
    <w:rsid w:val="00205002"/>
    <w:rsid w:val="00205497"/>
    <w:rsid w:val="00207083"/>
    <w:rsid w:val="00207B01"/>
    <w:rsid w:val="002105FE"/>
    <w:rsid w:val="00212525"/>
    <w:rsid w:val="00212872"/>
    <w:rsid w:val="0021317A"/>
    <w:rsid w:val="00213EAA"/>
    <w:rsid w:val="0021582B"/>
    <w:rsid w:val="00215FAC"/>
    <w:rsid w:val="00216169"/>
    <w:rsid w:val="00216246"/>
    <w:rsid w:val="0021628C"/>
    <w:rsid w:val="00217373"/>
    <w:rsid w:val="00220F35"/>
    <w:rsid w:val="00220F37"/>
    <w:rsid w:val="0022106C"/>
    <w:rsid w:val="002212F5"/>
    <w:rsid w:val="00221554"/>
    <w:rsid w:val="00222680"/>
    <w:rsid w:val="002228B0"/>
    <w:rsid w:val="00222BFF"/>
    <w:rsid w:val="0022392C"/>
    <w:rsid w:val="00223BBE"/>
    <w:rsid w:val="002240E1"/>
    <w:rsid w:val="00224681"/>
    <w:rsid w:val="00224A1A"/>
    <w:rsid w:val="00224F89"/>
    <w:rsid w:val="0022595B"/>
    <w:rsid w:val="00226195"/>
    <w:rsid w:val="0022630F"/>
    <w:rsid w:val="002265BF"/>
    <w:rsid w:val="002266BF"/>
    <w:rsid w:val="00227DF5"/>
    <w:rsid w:val="00227F5C"/>
    <w:rsid w:val="0023050D"/>
    <w:rsid w:val="002320CA"/>
    <w:rsid w:val="00232714"/>
    <w:rsid w:val="0023370C"/>
    <w:rsid w:val="00235606"/>
    <w:rsid w:val="00235EF6"/>
    <w:rsid w:val="002367C9"/>
    <w:rsid w:val="00236A8E"/>
    <w:rsid w:val="00237195"/>
    <w:rsid w:val="002374DA"/>
    <w:rsid w:val="00237C44"/>
    <w:rsid w:val="002401EC"/>
    <w:rsid w:val="00240CB2"/>
    <w:rsid w:val="00240F4B"/>
    <w:rsid w:val="00243B44"/>
    <w:rsid w:val="002441F5"/>
    <w:rsid w:val="0024436C"/>
    <w:rsid w:val="00244ABB"/>
    <w:rsid w:val="00244ACE"/>
    <w:rsid w:val="002464B2"/>
    <w:rsid w:val="0024698E"/>
    <w:rsid w:val="00246B9D"/>
    <w:rsid w:val="00247637"/>
    <w:rsid w:val="00247A67"/>
    <w:rsid w:val="00247C26"/>
    <w:rsid w:val="00247E5D"/>
    <w:rsid w:val="002507A7"/>
    <w:rsid w:val="00250965"/>
    <w:rsid w:val="00251814"/>
    <w:rsid w:val="0025248C"/>
    <w:rsid w:val="00252ADC"/>
    <w:rsid w:val="00252F1A"/>
    <w:rsid w:val="002535E3"/>
    <w:rsid w:val="00254BC1"/>
    <w:rsid w:val="002557BB"/>
    <w:rsid w:val="002560F5"/>
    <w:rsid w:val="00256697"/>
    <w:rsid w:val="002566FC"/>
    <w:rsid w:val="00256B05"/>
    <w:rsid w:val="00256CCD"/>
    <w:rsid w:val="0026033F"/>
    <w:rsid w:val="002603BB"/>
    <w:rsid w:val="002605F3"/>
    <w:rsid w:val="00260FDA"/>
    <w:rsid w:val="002614DD"/>
    <w:rsid w:val="00261A7E"/>
    <w:rsid w:val="00261C72"/>
    <w:rsid w:val="00262C24"/>
    <w:rsid w:val="0026766E"/>
    <w:rsid w:val="00270863"/>
    <w:rsid w:val="00272F77"/>
    <w:rsid w:val="0027459C"/>
    <w:rsid w:val="002748A9"/>
    <w:rsid w:val="00275565"/>
    <w:rsid w:val="00277106"/>
    <w:rsid w:val="00277467"/>
    <w:rsid w:val="002809C8"/>
    <w:rsid w:val="00280C1A"/>
    <w:rsid w:val="00281011"/>
    <w:rsid w:val="002815AB"/>
    <w:rsid w:val="00281998"/>
    <w:rsid w:val="00282069"/>
    <w:rsid w:val="002826FF"/>
    <w:rsid w:val="00282E5B"/>
    <w:rsid w:val="00285988"/>
    <w:rsid w:val="00286033"/>
    <w:rsid w:val="00290380"/>
    <w:rsid w:val="00290ABB"/>
    <w:rsid w:val="00294480"/>
    <w:rsid w:val="0029460C"/>
    <w:rsid w:val="00294D53"/>
    <w:rsid w:val="00295CC0"/>
    <w:rsid w:val="0029664C"/>
    <w:rsid w:val="002A0778"/>
    <w:rsid w:val="002A08D8"/>
    <w:rsid w:val="002A10E4"/>
    <w:rsid w:val="002A2417"/>
    <w:rsid w:val="002A2F01"/>
    <w:rsid w:val="002A301E"/>
    <w:rsid w:val="002A389E"/>
    <w:rsid w:val="002A3CC6"/>
    <w:rsid w:val="002A4447"/>
    <w:rsid w:val="002A5023"/>
    <w:rsid w:val="002A5228"/>
    <w:rsid w:val="002A6014"/>
    <w:rsid w:val="002A60F0"/>
    <w:rsid w:val="002A741E"/>
    <w:rsid w:val="002A7A95"/>
    <w:rsid w:val="002A7B43"/>
    <w:rsid w:val="002A7B8B"/>
    <w:rsid w:val="002A7F07"/>
    <w:rsid w:val="002B0A82"/>
    <w:rsid w:val="002B0B2D"/>
    <w:rsid w:val="002B116B"/>
    <w:rsid w:val="002B1EAF"/>
    <w:rsid w:val="002B34EC"/>
    <w:rsid w:val="002B36FE"/>
    <w:rsid w:val="002B3C7C"/>
    <w:rsid w:val="002B4235"/>
    <w:rsid w:val="002B4661"/>
    <w:rsid w:val="002B6036"/>
    <w:rsid w:val="002B6522"/>
    <w:rsid w:val="002B6690"/>
    <w:rsid w:val="002B7B66"/>
    <w:rsid w:val="002B7E94"/>
    <w:rsid w:val="002C067B"/>
    <w:rsid w:val="002C1ACA"/>
    <w:rsid w:val="002C1DEF"/>
    <w:rsid w:val="002C3950"/>
    <w:rsid w:val="002C3E52"/>
    <w:rsid w:val="002C4448"/>
    <w:rsid w:val="002C5986"/>
    <w:rsid w:val="002C64A6"/>
    <w:rsid w:val="002C6547"/>
    <w:rsid w:val="002C66ED"/>
    <w:rsid w:val="002C68AC"/>
    <w:rsid w:val="002C6939"/>
    <w:rsid w:val="002C7054"/>
    <w:rsid w:val="002C7426"/>
    <w:rsid w:val="002C7536"/>
    <w:rsid w:val="002C7CCD"/>
    <w:rsid w:val="002C7F20"/>
    <w:rsid w:val="002D02A0"/>
    <w:rsid w:val="002D0B5D"/>
    <w:rsid w:val="002D0BDB"/>
    <w:rsid w:val="002D0C77"/>
    <w:rsid w:val="002D1062"/>
    <w:rsid w:val="002D1A66"/>
    <w:rsid w:val="002D2B31"/>
    <w:rsid w:val="002D2E7C"/>
    <w:rsid w:val="002D37E6"/>
    <w:rsid w:val="002D4779"/>
    <w:rsid w:val="002D4863"/>
    <w:rsid w:val="002D5064"/>
    <w:rsid w:val="002D52DC"/>
    <w:rsid w:val="002D53B1"/>
    <w:rsid w:val="002D5AE8"/>
    <w:rsid w:val="002D6A45"/>
    <w:rsid w:val="002D6C47"/>
    <w:rsid w:val="002D7561"/>
    <w:rsid w:val="002E08DE"/>
    <w:rsid w:val="002E1120"/>
    <w:rsid w:val="002E12DA"/>
    <w:rsid w:val="002E22CF"/>
    <w:rsid w:val="002E2331"/>
    <w:rsid w:val="002E263F"/>
    <w:rsid w:val="002E33C6"/>
    <w:rsid w:val="002E50D2"/>
    <w:rsid w:val="002E7258"/>
    <w:rsid w:val="002E7781"/>
    <w:rsid w:val="002F037D"/>
    <w:rsid w:val="002F0702"/>
    <w:rsid w:val="002F0E7A"/>
    <w:rsid w:val="002F16F1"/>
    <w:rsid w:val="002F21E8"/>
    <w:rsid w:val="002F2535"/>
    <w:rsid w:val="002F2C3F"/>
    <w:rsid w:val="002F335B"/>
    <w:rsid w:val="002F4F13"/>
    <w:rsid w:val="002F5687"/>
    <w:rsid w:val="002F58AD"/>
    <w:rsid w:val="002F5A8D"/>
    <w:rsid w:val="002F6048"/>
    <w:rsid w:val="002F7871"/>
    <w:rsid w:val="002F7AA3"/>
    <w:rsid w:val="003021FA"/>
    <w:rsid w:val="00302F20"/>
    <w:rsid w:val="00303936"/>
    <w:rsid w:val="00303B10"/>
    <w:rsid w:val="00304501"/>
    <w:rsid w:val="00304A5D"/>
    <w:rsid w:val="00304F19"/>
    <w:rsid w:val="0030582F"/>
    <w:rsid w:val="00305A9D"/>
    <w:rsid w:val="00305D3C"/>
    <w:rsid w:val="00305F40"/>
    <w:rsid w:val="0031073F"/>
    <w:rsid w:val="00311910"/>
    <w:rsid w:val="003125DE"/>
    <w:rsid w:val="0031263F"/>
    <w:rsid w:val="00313253"/>
    <w:rsid w:val="003141A5"/>
    <w:rsid w:val="00314748"/>
    <w:rsid w:val="00314765"/>
    <w:rsid w:val="0031567A"/>
    <w:rsid w:val="00315BD0"/>
    <w:rsid w:val="00316046"/>
    <w:rsid w:val="00317501"/>
    <w:rsid w:val="00317EB6"/>
    <w:rsid w:val="00320466"/>
    <w:rsid w:val="00320A53"/>
    <w:rsid w:val="0032229D"/>
    <w:rsid w:val="00322EE2"/>
    <w:rsid w:val="00323485"/>
    <w:rsid w:val="00325260"/>
    <w:rsid w:val="00325821"/>
    <w:rsid w:val="00325902"/>
    <w:rsid w:val="00326595"/>
    <w:rsid w:val="003275A3"/>
    <w:rsid w:val="00330240"/>
    <w:rsid w:val="00330A46"/>
    <w:rsid w:val="0033134C"/>
    <w:rsid w:val="00332549"/>
    <w:rsid w:val="00332B24"/>
    <w:rsid w:val="00332D30"/>
    <w:rsid w:val="00332EEC"/>
    <w:rsid w:val="00332F91"/>
    <w:rsid w:val="0033305F"/>
    <w:rsid w:val="00333B9A"/>
    <w:rsid w:val="00333C61"/>
    <w:rsid w:val="00334111"/>
    <w:rsid w:val="003343DA"/>
    <w:rsid w:val="00334624"/>
    <w:rsid w:val="0033573E"/>
    <w:rsid w:val="00335E31"/>
    <w:rsid w:val="00335E33"/>
    <w:rsid w:val="00335ED7"/>
    <w:rsid w:val="00335FF9"/>
    <w:rsid w:val="003363CD"/>
    <w:rsid w:val="00336457"/>
    <w:rsid w:val="0033662A"/>
    <w:rsid w:val="0033760D"/>
    <w:rsid w:val="00337827"/>
    <w:rsid w:val="0034009F"/>
    <w:rsid w:val="00340425"/>
    <w:rsid w:val="00340631"/>
    <w:rsid w:val="00341318"/>
    <w:rsid w:val="00341753"/>
    <w:rsid w:val="00343792"/>
    <w:rsid w:val="0034385D"/>
    <w:rsid w:val="00343CE4"/>
    <w:rsid w:val="00343E34"/>
    <w:rsid w:val="00344230"/>
    <w:rsid w:val="00344E48"/>
    <w:rsid w:val="003466BB"/>
    <w:rsid w:val="00347C06"/>
    <w:rsid w:val="003508DF"/>
    <w:rsid w:val="00351075"/>
    <w:rsid w:val="0035253F"/>
    <w:rsid w:val="003531BA"/>
    <w:rsid w:val="00354017"/>
    <w:rsid w:val="0035423D"/>
    <w:rsid w:val="0036093F"/>
    <w:rsid w:val="00360CF3"/>
    <w:rsid w:val="00361ADA"/>
    <w:rsid w:val="00361D52"/>
    <w:rsid w:val="003624F5"/>
    <w:rsid w:val="003625AC"/>
    <w:rsid w:val="00362755"/>
    <w:rsid w:val="00364B01"/>
    <w:rsid w:val="00364BAB"/>
    <w:rsid w:val="00364DC9"/>
    <w:rsid w:val="003659E1"/>
    <w:rsid w:val="00366191"/>
    <w:rsid w:val="00366355"/>
    <w:rsid w:val="003704FF"/>
    <w:rsid w:val="00370BA3"/>
    <w:rsid w:val="00370D7F"/>
    <w:rsid w:val="0037182C"/>
    <w:rsid w:val="00371A10"/>
    <w:rsid w:val="00372A00"/>
    <w:rsid w:val="00372B06"/>
    <w:rsid w:val="0037352F"/>
    <w:rsid w:val="00373667"/>
    <w:rsid w:val="00375D62"/>
    <w:rsid w:val="00376E4B"/>
    <w:rsid w:val="00376EEB"/>
    <w:rsid w:val="00377B37"/>
    <w:rsid w:val="00380C17"/>
    <w:rsid w:val="00383496"/>
    <w:rsid w:val="0038401A"/>
    <w:rsid w:val="0038488B"/>
    <w:rsid w:val="00384CF7"/>
    <w:rsid w:val="00384E7E"/>
    <w:rsid w:val="00387021"/>
    <w:rsid w:val="003872BB"/>
    <w:rsid w:val="00387426"/>
    <w:rsid w:val="00387CE5"/>
    <w:rsid w:val="00390178"/>
    <w:rsid w:val="00390423"/>
    <w:rsid w:val="00390FD7"/>
    <w:rsid w:val="00391236"/>
    <w:rsid w:val="00392B9C"/>
    <w:rsid w:val="00393566"/>
    <w:rsid w:val="00393574"/>
    <w:rsid w:val="00393F48"/>
    <w:rsid w:val="003940A3"/>
    <w:rsid w:val="003951DE"/>
    <w:rsid w:val="00395E7D"/>
    <w:rsid w:val="00396F31"/>
    <w:rsid w:val="00397970"/>
    <w:rsid w:val="00397BA3"/>
    <w:rsid w:val="003A0205"/>
    <w:rsid w:val="003A0267"/>
    <w:rsid w:val="003A1B9C"/>
    <w:rsid w:val="003A1DCE"/>
    <w:rsid w:val="003A2C61"/>
    <w:rsid w:val="003A3035"/>
    <w:rsid w:val="003A313B"/>
    <w:rsid w:val="003A3376"/>
    <w:rsid w:val="003A4365"/>
    <w:rsid w:val="003A4631"/>
    <w:rsid w:val="003A65DA"/>
    <w:rsid w:val="003A6BBE"/>
    <w:rsid w:val="003A702C"/>
    <w:rsid w:val="003A74A1"/>
    <w:rsid w:val="003A7EAD"/>
    <w:rsid w:val="003B0C95"/>
    <w:rsid w:val="003B22E6"/>
    <w:rsid w:val="003B2806"/>
    <w:rsid w:val="003B2E12"/>
    <w:rsid w:val="003B368C"/>
    <w:rsid w:val="003B3711"/>
    <w:rsid w:val="003B3CA4"/>
    <w:rsid w:val="003B4264"/>
    <w:rsid w:val="003B4535"/>
    <w:rsid w:val="003B51C5"/>
    <w:rsid w:val="003B53DF"/>
    <w:rsid w:val="003B5925"/>
    <w:rsid w:val="003B7E6D"/>
    <w:rsid w:val="003C1F2A"/>
    <w:rsid w:val="003C2660"/>
    <w:rsid w:val="003D0305"/>
    <w:rsid w:val="003D06D0"/>
    <w:rsid w:val="003D0AB1"/>
    <w:rsid w:val="003D1193"/>
    <w:rsid w:val="003D11E8"/>
    <w:rsid w:val="003D1C19"/>
    <w:rsid w:val="003D3A6C"/>
    <w:rsid w:val="003D4217"/>
    <w:rsid w:val="003D44C6"/>
    <w:rsid w:val="003E0B4E"/>
    <w:rsid w:val="003E0B87"/>
    <w:rsid w:val="003E1E43"/>
    <w:rsid w:val="003E2500"/>
    <w:rsid w:val="003E2D11"/>
    <w:rsid w:val="003E3F4B"/>
    <w:rsid w:val="003E46CF"/>
    <w:rsid w:val="003E6CCF"/>
    <w:rsid w:val="003E6E41"/>
    <w:rsid w:val="003E7C0E"/>
    <w:rsid w:val="003E7D79"/>
    <w:rsid w:val="003E7F41"/>
    <w:rsid w:val="003F06A9"/>
    <w:rsid w:val="003F0720"/>
    <w:rsid w:val="003F0E8C"/>
    <w:rsid w:val="003F23E8"/>
    <w:rsid w:val="003F2CB5"/>
    <w:rsid w:val="003F35AC"/>
    <w:rsid w:val="003F469A"/>
    <w:rsid w:val="003F4ABA"/>
    <w:rsid w:val="003F4F91"/>
    <w:rsid w:val="003F5F39"/>
    <w:rsid w:val="003F6096"/>
    <w:rsid w:val="003F6ECD"/>
    <w:rsid w:val="003F73BD"/>
    <w:rsid w:val="003F7415"/>
    <w:rsid w:val="004000CF"/>
    <w:rsid w:val="004003D2"/>
    <w:rsid w:val="00400634"/>
    <w:rsid w:val="004018F8"/>
    <w:rsid w:val="00402483"/>
    <w:rsid w:val="00402A02"/>
    <w:rsid w:val="004039B2"/>
    <w:rsid w:val="004045C7"/>
    <w:rsid w:val="0040647C"/>
    <w:rsid w:val="004074D3"/>
    <w:rsid w:val="0040763F"/>
    <w:rsid w:val="00410E3F"/>
    <w:rsid w:val="00411CB0"/>
    <w:rsid w:val="00411E94"/>
    <w:rsid w:val="0041241D"/>
    <w:rsid w:val="0041317B"/>
    <w:rsid w:val="00414127"/>
    <w:rsid w:val="0041492B"/>
    <w:rsid w:val="00414F7B"/>
    <w:rsid w:val="00415B1C"/>
    <w:rsid w:val="00415C76"/>
    <w:rsid w:val="00417C55"/>
    <w:rsid w:val="00417CDA"/>
    <w:rsid w:val="0042065D"/>
    <w:rsid w:val="004209E1"/>
    <w:rsid w:val="0042238B"/>
    <w:rsid w:val="00423A77"/>
    <w:rsid w:val="00424C58"/>
    <w:rsid w:val="00424FC4"/>
    <w:rsid w:val="00425F30"/>
    <w:rsid w:val="00426048"/>
    <w:rsid w:val="00427674"/>
    <w:rsid w:val="0042781A"/>
    <w:rsid w:val="004278AA"/>
    <w:rsid w:val="00427AE9"/>
    <w:rsid w:val="004311DA"/>
    <w:rsid w:val="00431521"/>
    <w:rsid w:val="00431D99"/>
    <w:rsid w:val="00432A43"/>
    <w:rsid w:val="00432C08"/>
    <w:rsid w:val="00433099"/>
    <w:rsid w:val="004338D4"/>
    <w:rsid w:val="004340EB"/>
    <w:rsid w:val="00434E97"/>
    <w:rsid w:val="0043527E"/>
    <w:rsid w:val="004365E8"/>
    <w:rsid w:val="00436762"/>
    <w:rsid w:val="00437133"/>
    <w:rsid w:val="004373BC"/>
    <w:rsid w:val="00437468"/>
    <w:rsid w:val="00437D91"/>
    <w:rsid w:val="004403B3"/>
    <w:rsid w:val="00441946"/>
    <w:rsid w:val="00441CE0"/>
    <w:rsid w:val="00443781"/>
    <w:rsid w:val="00444C3A"/>
    <w:rsid w:val="00445394"/>
    <w:rsid w:val="004465C8"/>
    <w:rsid w:val="0044685B"/>
    <w:rsid w:val="0044698B"/>
    <w:rsid w:val="00446E6B"/>
    <w:rsid w:val="00450C17"/>
    <w:rsid w:val="00451148"/>
    <w:rsid w:val="0045116D"/>
    <w:rsid w:val="00451EFE"/>
    <w:rsid w:val="00452543"/>
    <w:rsid w:val="004527B1"/>
    <w:rsid w:val="00452995"/>
    <w:rsid w:val="00453D2C"/>
    <w:rsid w:val="004545A5"/>
    <w:rsid w:val="00454EE8"/>
    <w:rsid w:val="00455257"/>
    <w:rsid w:val="0045572B"/>
    <w:rsid w:val="00455DF0"/>
    <w:rsid w:val="004608F6"/>
    <w:rsid w:val="00460B38"/>
    <w:rsid w:val="00461E61"/>
    <w:rsid w:val="0046275E"/>
    <w:rsid w:val="00462D9E"/>
    <w:rsid w:val="00462E1B"/>
    <w:rsid w:val="00463283"/>
    <w:rsid w:val="00463905"/>
    <w:rsid w:val="00463CD1"/>
    <w:rsid w:val="00464F95"/>
    <w:rsid w:val="00465569"/>
    <w:rsid w:val="00465F30"/>
    <w:rsid w:val="00466403"/>
    <w:rsid w:val="004700EA"/>
    <w:rsid w:val="0047092D"/>
    <w:rsid w:val="00470A32"/>
    <w:rsid w:val="004710EF"/>
    <w:rsid w:val="004714EA"/>
    <w:rsid w:val="004724B4"/>
    <w:rsid w:val="004727D7"/>
    <w:rsid w:val="00472B06"/>
    <w:rsid w:val="00475926"/>
    <w:rsid w:val="00475C36"/>
    <w:rsid w:val="00475D38"/>
    <w:rsid w:val="00475EC1"/>
    <w:rsid w:val="00476768"/>
    <w:rsid w:val="0047699D"/>
    <w:rsid w:val="00476A0C"/>
    <w:rsid w:val="00476EE9"/>
    <w:rsid w:val="00477655"/>
    <w:rsid w:val="00477AE2"/>
    <w:rsid w:val="0048120F"/>
    <w:rsid w:val="00481CED"/>
    <w:rsid w:val="00482706"/>
    <w:rsid w:val="00483C74"/>
    <w:rsid w:val="00483D86"/>
    <w:rsid w:val="00484522"/>
    <w:rsid w:val="004846BC"/>
    <w:rsid w:val="00484AD8"/>
    <w:rsid w:val="00485158"/>
    <w:rsid w:val="004861C3"/>
    <w:rsid w:val="0049002F"/>
    <w:rsid w:val="00490434"/>
    <w:rsid w:val="00491624"/>
    <w:rsid w:val="00491D4C"/>
    <w:rsid w:val="00492653"/>
    <w:rsid w:val="00492837"/>
    <w:rsid w:val="00493846"/>
    <w:rsid w:val="00495794"/>
    <w:rsid w:val="004966C2"/>
    <w:rsid w:val="0049695E"/>
    <w:rsid w:val="004A0FA6"/>
    <w:rsid w:val="004A1353"/>
    <w:rsid w:val="004A142B"/>
    <w:rsid w:val="004A2BFE"/>
    <w:rsid w:val="004A36CF"/>
    <w:rsid w:val="004A40A2"/>
    <w:rsid w:val="004A55C1"/>
    <w:rsid w:val="004A5D1D"/>
    <w:rsid w:val="004A61AA"/>
    <w:rsid w:val="004A63CA"/>
    <w:rsid w:val="004A6482"/>
    <w:rsid w:val="004A699E"/>
    <w:rsid w:val="004A6A2D"/>
    <w:rsid w:val="004A6F24"/>
    <w:rsid w:val="004A6FD5"/>
    <w:rsid w:val="004B04F7"/>
    <w:rsid w:val="004B1FEE"/>
    <w:rsid w:val="004B2A2E"/>
    <w:rsid w:val="004B44A9"/>
    <w:rsid w:val="004B506B"/>
    <w:rsid w:val="004B7808"/>
    <w:rsid w:val="004C139C"/>
    <w:rsid w:val="004C1A54"/>
    <w:rsid w:val="004C302A"/>
    <w:rsid w:val="004C6308"/>
    <w:rsid w:val="004C67D1"/>
    <w:rsid w:val="004C683B"/>
    <w:rsid w:val="004D013D"/>
    <w:rsid w:val="004D1245"/>
    <w:rsid w:val="004D1BBA"/>
    <w:rsid w:val="004D21D2"/>
    <w:rsid w:val="004D2935"/>
    <w:rsid w:val="004D30A2"/>
    <w:rsid w:val="004D3A57"/>
    <w:rsid w:val="004D4BFC"/>
    <w:rsid w:val="004D4F0D"/>
    <w:rsid w:val="004D6C37"/>
    <w:rsid w:val="004D7811"/>
    <w:rsid w:val="004D7C5F"/>
    <w:rsid w:val="004E0D0B"/>
    <w:rsid w:val="004E2393"/>
    <w:rsid w:val="004E2C91"/>
    <w:rsid w:val="004E2E34"/>
    <w:rsid w:val="004E3335"/>
    <w:rsid w:val="004E3CE4"/>
    <w:rsid w:val="004E419D"/>
    <w:rsid w:val="004E52FF"/>
    <w:rsid w:val="004E5CF0"/>
    <w:rsid w:val="004E6E8C"/>
    <w:rsid w:val="004E770B"/>
    <w:rsid w:val="004E7F09"/>
    <w:rsid w:val="004F030B"/>
    <w:rsid w:val="004F0C94"/>
    <w:rsid w:val="004F2598"/>
    <w:rsid w:val="004F28B3"/>
    <w:rsid w:val="004F2A99"/>
    <w:rsid w:val="004F327C"/>
    <w:rsid w:val="004F37F5"/>
    <w:rsid w:val="004F4A2E"/>
    <w:rsid w:val="004F5941"/>
    <w:rsid w:val="004F5994"/>
    <w:rsid w:val="004F6AF2"/>
    <w:rsid w:val="004F7469"/>
    <w:rsid w:val="004F7BEF"/>
    <w:rsid w:val="00500A8B"/>
    <w:rsid w:val="00500B99"/>
    <w:rsid w:val="00500F45"/>
    <w:rsid w:val="00502714"/>
    <w:rsid w:val="00503921"/>
    <w:rsid w:val="005042E8"/>
    <w:rsid w:val="005043EE"/>
    <w:rsid w:val="00504922"/>
    <w:rsid w:val="005053E9"/>
    <w:rsid w:val="00507A00"/>
    <w:rsid w:val="00507F8F"/>
    <w:rsid w:val="00511453"/>
    <w:rsid w:val="005115E5"/>
    <w:rsid w:val="00511FA4"/>
    <w:rsid w:val="00512368"/>
    <w:rsid w:val="00513826"/>
    <w:rsid w:val="00514E7E"/>
    <w:rsid w:val="0051539D"/>
    <w:rsid w:val="0051578C"/>
    <w:rsid w:val="005165D9"/>
    <w:rsid w:val="0051683C"/>
    <w:rsid w:val="00517384"/>
    <w:rsid w:val="0051754F"/>
    <w:rsid w:val="0051756E"/>
    <w:rsid w:val="005176E7"/>
    <w:rsid w:val="005215DC"/>
    <w:rsid w:val="0052299E"/>
    <w:rsid w:val="00523589"/>
    <w:rsid w:val="00523668"/>
    <w:rsid w:val="00523AD9"/>
    <w:rsid w:val="00523CA1"/>
    <w:rsid w:val="00523D5E"/>
    <w:rsid w:val="00524777"/>
    <w:rsid w:val="005250BD"/>
    <w:rsid w:val="005269E6"/>
    <w:rsid w:val="00527033"/>
    <w:rsid w:val="0052795D"/>
    <w:rsid w:val="00527B19"/>
    <w:rsid w:val="00531197"/>
    <w:rsid w:val="00531B5B"/>
    <w:rsid w:val="00532500"/>
    <w:rsid w:val="00533A10"/>
    <w:rsid w:val="005349A5"/>
    <w:rsid w:val="00535A37"/>
    <w:rsid w:val="005368D6"/>
    <w:rsid w:val="00536AE4"/>
    <w:rsid w:val="005405FD"/>
    <w:rsid w:val="00540E6C"/>
    <w:rsid w:val="0054172A"/>
    <w:rsid w:val="0054180A"/>
    <w:rsid w:val="00541B22"/>
    <w:rsid w:val="00541FAE"/>
    <w:rsid w:val="00542CF3"/>
    <w:rsid w:val="00544293"/>
    <w:rsid w:val="00544A14"/>
    <w:rsid w:val="00544B8E"/>
    <w:rsid w:val="0054537E"/>
    <w:rsid w:val="0054584C"/>
    <w:rsid w:val="00546436"/>
    <w:rsid w:val="00547723"/>
    <w:rsid w:val="0055033A"/>
    <w:rsid w:val="00550776"/>
    <w:rsid w:val="005514BC"/>
    <w:rsid w:val="0055245C"/>
    <w:rsid w:val="00552A05"/>
    <w:rsid w:val="00553D58"/>
    <w:rsid w:val="00554236"/>
    <w:rsid w:val="005547A2"/>
    <w:rsid w:val="00554B3B"/>
    <w:rsid w:val="0055540D"/>
    <w:rsid w:val="00555536"/>
    <w:rsid w:val="005555E2"/>
    <w:rsid w:val="00555879"/>
    <w:rsid w:val="0055737E"/>
    <w:rsid w:val="005626EA"/>
    <w:rsid w:val="00563035"/>
    <w:rsid w:val="0056480C"/>
    <w:rsid w:val="00564BCB"/>
    <w:rsid w:val="00564BE5"/>
    <w:rsid w:val="005653D6"/>
    <w:rsid w:val="00565909"/>
    <w:rsid w:val="00566CD7"/>
    <w:rsid w:val="005679B4"/>
    <w:rsid w:val="00567E9D"/>
    <w:rsid w:val="00572014"/>
    <w:rsid w:val="00572F6E"/>
    <w:rsid w:val="0057331C"/>
    <w:rsid w:val="00574776"/>
    <w:rsid w:val="0057481B"/>
    <w:rsid w:val="005767A4"/>
    <w:rsid w:val="005811FD"/>
    <w:rsid w:val="00582ADB"/>
    <w:rsid w:val="00582B23"/>
    <w:rsid w:val="00582DA3"/>
    <w:rsid w:val="00583993"/>
    <w:rsid w:val="00584B02"/>
    <w:rsid w:val="00584EF0"/>
    <w:rsid w:val="0058526A"/>
    <w:rsid w:val="00587B6F"/>
    <w:rsid w:val="00590930"/>
    <w:rsid w:val="005918AB"/>
    <w:rsid w:val="00591F4E"/>
    <w:rsid w:val="005927D0"/>
    <w:rsid w:val="0059321F"/>
    <w:rsid w:val="005937CD"/>
    <w:rsid w:val="00593818"/>
    <w:rsid w:val="005953FA"/>
    <w:rsid w:val="00596608"/>
    <w:rsid w:val="00596936"/>
    <w:rsid w:val="00596BE1"/>
    <w:rsid w:val="005A05C6"/>
    <w:rsid w:val="005A0F6B"/>
    <w:rsid w:val="005A0FE9"/>
    <w:rsid w:val="005A11AB"/>
    <w:rsid w:val="005A1973"/>
    <w:rsid w:val="005A2C15"/>
    <w:rsid w:val="005A35BA"/>
    <w:rsid w:val="005A4493"/>
    <w:rsid w:val="005A6687"/>
    <w:rsid w:val="005A6812"/>
    <w:rsid w:val="005B03E1"/>
    <w:rsid w:val="005B0DA5"/>
    <w:rsid w:val="005B0EA3"/>
    <w:rsid w:val="005B165E"/>
    <w:rsid w:val="005B19CB"/>
    <w:rsid w:val="005B22CA"/>
    <w:rsid w:val="005B2405"/>
    <w:rsid w:val="005B2679"/>
    <w:rsid w:val="005B2A1D"/>
    <w:rsid w:val="005B2B02"/>
    <w:rsid w:val="005B2FB4"/>
    <w:rsid w:val="005B34F2"/>
    <w:rsid w:val="005B3FC0"/>
    <w:rsid w:val="005B492F"/>
    <w:rsid w:val="005B5299"/>
    <w:rsid w:val="005B6D44"/>
    <w:rsid w:val="005B7579"/>
    <w:rsid w:val="005B77A5"/>
    <w:rsid w:val="005C0481"/>
    <w:rsid w:val="005C04B3"/>
    <w:rsid w:val="005C06FC"/>
    <w:rsid w:val="005C16BC"/>
    <w:rsid w:val="005C42E8"/>
    <w:rsid w:val="005C4720"/>
    <w:rsid w:val="005C4F62"/>
    <w:rsid w:val="005C5503"/>
    <w:rsid w:val="005C5F01"/>
    <w:rsid w:val="005C6B42"/>
    <w:rsid w:val="005D023B"/>
    <w:rsid w:val="005D0C19"/>
    <w:rsid w:val="005D165F"/>
    <w:rsid w:val="005D2211"/>
    <w:rsid w:val="005D2863"/>
    <w:rsid w:val="005D33E7"/>
    <w:rsid w:val="005D365F"/>
    <w:rsid w:val="005D389D"/>
    <w:rsid w:val="005D4553"/>
    <w:rsid w:val="005D4EA1"/>
    <w:rsid w:val="005D5323"/>
    <w:rsid w:val="005D58DC"/>
    <w:rsid w:val="005D6A1C"/>
    <w:rsid w:val="005D6C1B"/>
    <w:rsid w:val="005D77A4"/>
    <w:rsid w:val="005D7B43"/>
    <w:rsid w:val="005D7BAF"/>
    <w:rsid w:val="005E03F7"/>
    <w:rsid w:val="005E14B1"/>
    <w:rsid w:val="005E1B35"/>
    <w:rsid w:val="005E1F0D"/>
    <w:rsid w:val="005E235E"/>
    <w:rsid w:val="005E2C69"/>
    <w:rsid w:val="005E2C89"/>
    <w:rsid w:val="005E3505"/>
    <w:rsid w:val="005E39D8"/>
    <w:rsid w:val="005E3C3B"/>
    <w:rsid w:val="005E4F13"/>
    <w:rsid w:val="005E564B"/>
    <w:rsid w:val="005E586F"/>
    <w:rsid w:val="005E628A"/>
    <w:rsid w:val="005E72C8"/>
    <w:rsid w:val="005E7343"/>
    <w:rsid w:val="005E76F2"/>
    <w:rsid w:val="005E7EC4"/>
    <w:rsid w:val="005F23AD"/>
    <w:rsid w:val="005F26E5"/>
    <w:rsid w:val="005F37EC"/>
    <w:rsid w:val="005F4585"/>
    <w:rsid w:val="005F5278"/>
    <w:rsid w:val="005F604D"/>
    <w:rsid w:val="005F6835"/>
    <w:rsid w:val="005F70AD"/>
    <w:rsid w:val="00600074"/>
    <w:rsid w:val="006000D7"/>
    <w:rsid w:val="006003B8"/>
    <w:rsid w:val="006007DF"/>
    <w:rsid w:val="00600CE0"/>
    <w:rsid w:val="00601AD0"/>
    <w:rsid w:val="00601F20"/>
    <w:rsid w:val="0060247C"/>
    <w:rsid w:val="00602797"/>
    <w:rsid w:val="006055C7"/>
    <w:rsid w:val="00605D68"/>
    <w:rsid w:val="00606143"/>
    <w:rsid w:val="006062F0"/>
    <w:rsid w:val="006068F5"/>
    <w:rsid w:val="0060717F"/>
    <w:rsid w:val="00607742"/>
    <w:rsid w:val="00610D35"/>
    <w:rsid w:val="00611232"/>
    <w:rsid w:val="00612345"/>
    <w:rsid w:val="006149D1"/>
    <w:rsid w:val="00614E28"/>
    <w:rsid w:val="00615545"/>
    <w:rsid w:val="00615B23"/>
    <w:rsid w:val="00615DAB"/>
    <w:rsid w:val="0061644B"/>
    <w:rsid w:val="00616731"/>
    <w:rsid w:val="00616966"/>
    <w:rsid w:val="00616E2F"/>
    <w:rsid w:val="0061703D"/>
    <w:rsid w:val="00617327"/>
    <w:rsid w:val="00617644"/>
    <w:rsid w:val="0061786A"/>
    <w:rsid w:val="00617EE7"/>
    <w:rsid w:val="00620288"/>
    <w:rsid w:val="00620D7C"/>
    <w:rsid w:val="00621602"/>
    <w:rsid w:val="00622933"/>
    <w:rsid w:val="006231ED"/>
    <w:rsid w:val="00623EC9"/>
    <w:rsid w:val="00623F28"/>
    <w:rsid w:val="00624C23"/>
    <w:rsid w:val="00624D8E"/>
    <w:rsid w:val="00624EA3"/>
    <w:rsid w:val="00625161"/>
    <w:rsid w:val="006256B8"/>
    <w:rsid w:val="00625EA2"/>
    <w:rsid w:val="006263A7"/>
    <w:rsid w:val="00627228"/>
    <w:rsid w:val="00627649"/>
    <w:rsid w:val="00630E3D"/>
    <w:rsid w:val="006317F9"/>
    <w:rsid w:val="006326B4"/>
    <w:rsid w:val="00632D48"/>
    <w:rsid w:val="00632F93"/>
    <w:rsid w:val="00633014"/>
    <w:rsid w:val="006336EF"/>
    <w:rsid w:val="00633E43"/>
    <w:rsid w:val="006340C2"/>
    <w:rsid w:val="006341EE"/>
    <w:rsid w:val="00634EBE"/>
    <w:rsid w:val="006358A6"/>
    <w:rsid w:val="00635DAB"/>
    <w:rsid w:val="00636004"/>
    <w:rsid w:val="006368FF"/>
    <w:rsid w:val="00637277"/>
    <w:rsid w:val="00637BCB"/>
    <w:rsid w:val="00637D11"/>
    <w:rsid w:val="00640B94"/>
    <w:rsid w:val="00640DD9"/>
    <w:rsid w:val="0064114C"/>
    <w:rsid w:val="00642298"/>
    <w:rsid w:val="006424BB"/>
    <w:rsid w:val="0064365C"/>
    <w:rsid w:val="00644AE9"/>
    <w:rsid w:val="00646EAA"/>
    <w:rsid w:val="00646FAB"/>
    <w:rsid w:val="006501AA"/>
    <w:rsid w:val="006503B0"/>
    <w:rsid w:val="00650BCD"/>
    <w:rsid w:val="00650CF4"/>
    <w:rsid w:val="00650CF8"/>
    <w:rsid w:val="00650EF8"/>
    <w:rsid w:val="00650F90"/>
    <w:rsid w:val="00651878"/>
    <w:rsid w:val="00652084"/>
    <w:rsid w:val="006536B8"/>
    <w:rsid w:val="00653FA3"/>
    <w:rsid w:val="00654109"/>
    <w:rsid w:val="00654F58"/>
    <w:rsid w:val="006571C7"/>
    <w:rsid w:val="0065768C"/>
    <w:rsid w:val="00660213"/>
    <w:rsid w:val="0066078F"/>
    <w:rsid w:val="00662A27"/>
    <w:rsid w:val="00664912"/>
    <w:rsid w:val="00664A0E"/>
    <w:rsid w:val="00665946"/>
    <w:rsid w:val="00667387"/>
    <w:rsid w:val="006673AF"/>
    <w:rsid w:val="0067128B"/>
    <w:rsid w:val="00673341"/>
    <w:rsid w:val="00674EDA"/>
    <w:rsid w:val="00675D7C"/>
    <w:rsid w:val="00676C72"/>
    <w:rsid w:val="006771AD"/>
    <w:rsid w:val="00680FFF"/>
    <w:rsid w:val="00681918"/>
    <w:rsid w:val="00686089"/>
    <w:rsid w:val="006877D2"/>
    <w:rsid w:val="00690AE7"/>
    <w:rsid w:val="00691376"/>
    <w:rsid w:val="0069168C"/>
    <w:rsid w:val="00692262"/>
    <w:rsid w:val="006922EF"/>
    <w:rsid w:val="006925A3"/>
    <w:rsid w:val="00692F0A"/>
    <w:rsid w:val="006943F6"/>
    <w:rsid w:val="00694EF8"/>
    <w:rsid w:val="00694FB9"/>
    <w:rsid w:val="0069614A"/>
    <w:rsid w:val="006970DD"/>
    <w:rsid w:val="006A0E93"/>
    <w:rsid w:val="006A14DD"/>
    <w:rsid w:val="006A14F3"/>
    <w:rsid w:val="006A1EA2"/>
    <w:rsid w:val="006A2588"/>
    <w:rsid w:val="006A2BC4"/>
    <w:rsid w:val="006A345B"/>
    <w:rsid w:val="006A4633"/>
    <w:rsid w:val="006A54BA"/>
    <w:rsid w:val="006A617D"/>
    <w:rsid w:val="006A6628"/>
    <w:rsid w:val="006A7FFB"/>
    <w:rsid w:val="006B0F1D"/>
    <w:rsid w:val="006B2116"/>
    <w:rsid w:val="006B23FD"/>
    <w:rsid w:val="006B4203"/>
    <w:rsid w:val="006B5473"/>
    <w:rsid w:val="006B5918"/>
    <w:rsid w:val="006B5B78"/>
    <w:rsid w:val="006B6346"/>
    <w:rsid w:val="006B68F7"/>
    <w:rsid w:val="006B71EB"/>
    <w:rsid w:val="006B758F"/>
    <w:rsid w:val="006C10AC"/>
    <w:rsid w:val="006C15EC"/>
    <w:rsid w:val="006C1F91"/>
    <w:rsid w:val="006C2229"/>
    <w:rsid w:val="006C3F4B"/>
    <w:rsid w:val="006C54BA"/>
    <w:rsid w:val="006C55B1"/>
    <w:rsid w:val="006C5C94"/>
    <w:rsid w:val="006C5D5A"/>
    <w:rsid w:val="006C69C1"/>
    <w:rsid w:val="006D11DE"/>
    <w:rsid w:val="006D1701"/>
    <w:rsid w:val="006D32D0"/>
    <w:rsid w:val="006D3AA2"/>
    <w:rsid w:val="006D3D89"/>
    <w:rsid w:val="006D43AB"/>
    <w:rsid w:val="006D47AE"/>
    <w:rsid w:val="006D4997"/>
    <w:rsid w:val="006D51EF"/>
    <w:rsid w:val="006D5381"/>
    <w:rsid w:val="006D5775"/>
    <w:rsid w:val="006D6561"/>
    <w:rsid w:val="006D68E9"/>
    <w:rsid w:val="006D6946"/>
    <w:rsid w:val="006D7626"/>
    <w:rsid w:val="006E01C3"/>
    <w:rsid w:val="006E04F7"/>
    <w:rsid w:val="006E0F7D"/>
    <w:rsid w:val="006E11DD"/>
    <w:rsid w:val="006E1DA5"/>
    <w:rsid w:val="006E38BE"/>
    <w:rsid w:val="006E3EAA"/>
    <w:rsid w:val="006E4A8D"/>
    <w:rsid w:val="006E79A3"/>
    <w:rsid w:val="006F020A"/>
    <w:rsid w:val="006F112A"/>
    <w:rsid w:val="006F25E7"/>
    <w:rsid w:val="006F28D7"/>
    <w:rsid w:val="006F4852"/>
    <w:rsid w:val="006F4DE2"/>
    <w:rsid w:val="006F5D97"/>
    <w:rsid w:val="006F5FE3"/>
    <w:rsid w:val="006F70EA"/>
    <w:rsid w:val="006F771F"/>
    <w:rsid w:val="006F7A6C"/>
    <w:rsid w:val="00700108"/>
    <w:rsid w:val="00700636"/>
    <w:rsid w:val="00700CED"/>
    <w:rsid w:val="00701846"/>
    <w:rsid w:val="00701BF9"/>
    <w:rsid w:val="007024F4"/>
    <w:rsid w:val="00702644"/>
    <w:rsid w:val="007036F7"/>
    <w:rsid w:val="007053FB"/>
    <w:rsid w:val="00705B23"/>
    <w:rsid w:val="00705BFC"/>
    <w:rsid w:val="007061E4"/>
    <w:rsid w:val="0070651D"/>
    <w:rsid w:val="0070691A"/>
    <w:rsid w:val="0070693A"/>
    <w:rsid w:val="00707252"/>
    <w:rsid w:val="0071235C"/>
    <w:rsid w:val="0071278C"/>
    <w:rsid w:val="00712C05"/>
    <w:rsid w:val="00712C90"/>
    <w:rsid w:val="007133BA"/>
    <w:rsid w:val="00714C47"/>
    <w:rsid w:val="007157E9"/>
    <w:rsid w:val="00716B2B"/>
    <w:rsid w:val="00716CD9"/>
    <w:rsid w:val="007175AD"/>
    <w:rsid w:val="0071798B"/>
    <w:rsid w:val="00717A38"/>
    <w:rsid w:val="00720324"/>
    <w:rsid w:val="007215C1"/>
    <w:rsid w:val="00721932"/>
    <w:rsid w:val="00721EBD"/>
    <w:rsid w:val="00722430"/>
    <w:rsid w:val="0072593F"/>
    <w:rsid w:val="00725D11"/>
    <w:rsid w:val="00725E75"/>
    <w:rsid w:val="00726A63"/>
    <w:rsid w:val="0072703D"/>
    <w:rsid w:val="00727EE5"/>
    <w:rsid w:val="00730154"/>
    <w:rsid w:val="0073053B"/>
    <w:rsid w:val="00731A54"/>
    <w:rsid w:val="00732D3F"/>
    <w:rsid w:val="0073345A"/>
    <w:rsid w:val="0073362C"/>
    <w:rsid w:val="00733AE5"/>
    <w:rsid w:val="00734E06"/>
    <w:rsid w:val="00734EC0"/>
    <w:rsid w:val="00735DC1"/>
    <w:rsid w:val="00736EB8"/>
    <w:rsid w:val="00736F8E"/>
    <w:rsid w:val="007401E3"/>
    <w:rsid w:val="007409C8"/>
    <w:rsid w:val="00740BC4"/>
    <w:rsid w:val="007427BB"/>
    <w:rsid w:val="007440A2"/>
    <w:rsid w:val="007445DF"/>
    <w:rsid w:val="00745143"/>
    <w:rsid w:val="00745377"/>
    <w:rsid w:val="0074565B"/>
    <w:rsid w:val="00747C56"/>
    <w:rsid w:val="00747E0C"/>
    <w:rsid w:val="007501AC"/>
    <w:rsid w:val="00751308"/>
    <w:rsid w:val="007515D3"/>
    <w:rsid w:val="00751C1B"/>
    <w:rsid w:val="007527D2"/>
    <w:rsid w:val="00752CA1"/>
    <w:rsid w:val="00756F4E"/>
    <w:rsid w:val="00757DCF"/>
    <w:rsid w:val="0076125C"/>
    <w:rsid w:val="00762C2E"/>
    <w:rsid w:val="00762F1B"/>
    <w:rsid w:val="0076348A"/>
    <w:rsid w:val="0076392D"/>
    <w:rsid w:val="00763ED0"/>
    <w:rsid w:val="00764339"/>
    <w:rsid w:val="0076520A"/>
    <w:rsid w:val="00765BDF"/>
    <w:rsid w:val="0076682E"/>
    <w:rsid w:val="00770254"/>
    <w:rsid w:val="0077103B"/>
    <w:rsid w:val="00771786"/>
    <w:rsid w:val="00772DCA"/>
    <w:rsid w:val="00773DC7"/>
    <w:rsid w:val="00774D65"/>
    <w:rsid w:val="00774DA2"/>
    <w:rsid w:val="00775132"/>
    <w:rsid w:val="0077581A"/>
    <w:rsid w:val="00776147"/>
    <w:rsid w:val="007763FB"/>
    <w:rsid w:val="00776882"/>
    <w:rsid w:val="00776E8F"/>
    <w:rsid w:val="0077761A"/>
    <w:rsid w:val="00777AD7"/>
    <w:rsid w:val="00781A0E"/>
    <w:rsid w:val="0078318D"/>
    <w:rsid w:val="0078376A"/>
    <w:rsid w:val="00784828"/>
    <w:rsid w:val="00784FEC"/>
    <w:rsid w:val="007850B8"/>
    <w:rsid w:val="00785586"/>
    <w:rsid w:val="00785A2A"/>
    <w:rsid w:val="007865C2"/>
    <w:rsid w:val="00786A2C"/>
    <w:rsid w:val="00787494"/>
    <w:rsid w:val="00787FA9"/>
    <w:rsid w:val="00790D09"/>
    <w:rsid w:val="007925C6"/>
    <w:rsid w:val="00792981"/>
    <w:rsid w:val="00792A60"/>
    <w:rsid w:val="007936AD"/>
    <w:rsid w:val="00793FAA"/>
    <w:rsid w:val="00794D8D"/>
    <w:rsid w:val="007953F9"/>
    <w:rsid w:val="0079552B"/>
    <w:rsid w:val="007957B1"/>
    <w:rsid w:val="00795C1B"/>
    <w:rsid w:val="00795CF4"/>
    <w:rsid w:val="007964F3"/>
    <w:rsid w:val="00796FEF"/>
    <w:rsid w:val="007972F8"/>
    <w:rsid w:val="00797447"/>
    <w:rsid w:val="00797F48"/>
    <w:rsid w:val="007A0655"/>
    <w:rsid w:val="007A0CD8"/>
    <w:rsid w:val="007A2EF0"/>
    <w:rsid w:val="007A2F4B"/>
    <w:rsid w:val="007A379C"/>
    <w:rsid w:val="007A5317"/>
    <w:rsid w:val="007A5CCB"/>
    <w:rsid w:val="007A769E"/>
    <w:rsid w:val="007A7783"/>
    <w:rsid w:val="007A79AF"/>
    <w:rsid w:val="007A7C17"/>
    <w:rsid w:val="007B0887"/>
    <w:rsid w:val="007B090B"/>
    <w:rsid w:val="007B0FD9"/>
    <w:rsid w:val="007B1CAF"/>
    <w:rsid w:val="007B2306"/>
    <w:rsid w:val="007B2336"/>
    <w:rsid w:val="007B2A61"/>
    <w:rsid w:val="007B2B65"/>
    <w:rsid w:val="007B4433"/>
    <w:rsid w:val="007B458B"/>
    <w:rsid w:val="007B5746"/>
    <w:rsid w:val="007B5F27"/>
    <w:rsid w:val="007B723D"/>
    <w:rsid w:val="007B7AEF"/>
    <w:rsid w:val="007C0969"/>
    <w:rsid w:val="007C1564"/>
    <w:rsid w:val="007C1611"/>
    <w:rsid w:val="007C1E86"/>
    <w:rsid w:val="007C4328"/>
    <w:rsid w:val="007C440F"/>
    <w:rsid w:val="007C46CB"/>
    <w:rsid w:val="007C5216"/>
    <w:rsid w:val="007C5AC1"/>
    <w:rsid w:val="007C7B23"/>
    <w:rsid w:val="007C7C7F"/>
    <w:rsid w:val="007D0ACE"/>
    <w:rsid w:val="007D23F5"/>
    <w:rsid w:val="007D28DA"/>
    <w:rsid w:val="007D2E06"/>
    <w:rsid w:val="007D48BC"/>
    <w:rsid w:val="007D56BC"/>
    <w:rsid w:val="007D71EA"/>
    <w:rsid w:val="007D7868"/>
    <w:rsid w:val="007E1DAE"/>
    <w:rsid w:val="007E2641"/>
    <w:rsid w:val="007E4A23"/>
    <w:rsid w:val="007E5D5F"/>
    <w:rsid w:val="007E6EA2"/>
    <w:rsid w:val="007E776A"/>
    <w:rsid w:val="007F08BB"/>
    <w:rsid w:val="007F1536"/>
    <w:rsid w:val="007F1D6B"/>
    <w:rsid w:val="007F225A"/>
    <w:rsid w:val="007F254F"/>
    <w:rsid w:val="007F2615"/>
    <w:rsid w:val="007F39F4"/>
    <w:rsid w:val="007F3E2A"/>
    <w:rsid w:val="007F3FBA"/>
    <w:rsid w:val="007F43DB"/>
    <w:rsid w:val="008003F7"/>
    <w:rsid w:val="0080043D"/>
    <w:rsid w:val="00802069"/>
    <w:rsid w:val="0080289B"/>
    <w:rsid w:val="00802A15"/>
    <w:rsid w:val="00803215"/>
    <w:rsid w:val="00804B0E"/>
    <w:rsid w:val="00804C5B"/>
    <w:rsid w:val="00804F02"/>
    <w:rsid w:val="00805646"/>
    <w:rsid w:val="00806213"/>
    <w:rsid w:val="00806C0F"/>
    <w:rsid w:val="00806CCA"/>
    <w:rsid w:val="00806CF0"/>
    <w:rsid w:val="0080722B"/>
    <w:rsid w:val="00810C42"/>
    <w:rsid w:val="00811BAA"/>
    <w:rsid w:val="00811F08"/>
    <w:rsid w:val="008125F6"/>
    <w:rsid w:val="00813885"/>
    <w:rsid w:val="00813A16"/>
    <w:rsid w:val="0081427C"/>
    <w:rsid w:val="00814642"/>
    <w:rsid w:val="0081471F"/>
    <w:rsid w:val="00814A48"/>
    <w:rsid w:val="00815748"/>
    <w:rsid w:val="00816215"/>
    <w:rsid w:val="00816674"/>
    <w:rsid w:val="00816EF3"/>
    <w:rsid w:val="0081743A"/>
    <w:rsid w:val="008202D1"/>
    <w:rsid w:val="00821401"/>
    <w:rsid w:val="00821A0A"/>
    <w:rsid w:val="00822954"/>
    <w:rsid w:val="00823161"/>
    <w:rsid w:val="008238CD"/>
    <w:rsid w:val="00824957"/>
    <w:rsid w:val="00825264"/>
    <w:rsid w:val="008266C4"/>
    <w:rsid w:val="00826B6F"/>
    <w:rsid w:val="00832296"/>
    <w:rsid w:val="008329A2"/>
    <w:rsid w:val="00832B23"/>
    <w:rsid w:val="008340F3"/>
    <w:rsid w:val="0083528B"/>
    <w:rsid w:val="00836739"/>
    <w:rsid w:val="008402EF"/>
    <w:rsid w:val="00840713"/>
    <w:rsid w:val="008412CD"/>
    <w:rsid w:val="00842A8F"/>
    <w:rsid w:val="0084332A"/>
    <w:rsid w:val="0084352A"/>
    <w:rsid w:val="00843618"/>
    <w:rsid w:val="00843B44"/>
    <w:rsid w:val="00844D71"/>
    <w:rsid w:val="0084618A"/>
    <w:rsid w:val="0084676E"/>
    <w:rsid w:val="00847621"/>
    <w:rsid w:val="008479C0"/>
    <w:rsid w:val="00847E3C"/>
    <w:rsid w:val="0085086F"/>
    <w:rsid w:val="00852470"/>
    <w:rsid w:val="00852635"/>
    <w:rsid w:val="00852698"/>
    <w:rsid w:val="0085443B"/>
    <w:rsid w:val="00854934"/>
    <w:rsid w:val="00854E2B"/>
    <w:rsid w:val="00855585"/>
    <w:rsid w:val="00856671"/>
    <w:rsid w:val="008566B3"/>
    <w:rsid w:val="00856C6E"/>
    <w:rsid w:val="00857BCD"/>
    <w:rsid w:val="00857E93"/>
    <w:rsid w:val="00861441"/>
    <w:rsid w:val="00862092"/>
    <w:rsid w:val="00862254"/>
    <w:rsid w:val="0086246D"/>
    <w:rsid w:val="00862A59"/>
    <w:rsid w:val="008632C1"/>
    <w:rsid w:val="00864CC0"/>
    <w:rsid w:val="00864CCC"/>
    <w:rsid w:val="008652E8"/>
    <w:rsid w:val="00867352"/>
    <w:rsid w:val="0086745A"/>
    <w:rsid w:val="008677E6"/>
    <w:rsid w:val="00870679"/>
    <w:rsid w:val="00870968"/>
    <w:rsid w:val="00870E40"/>
    <w:rsid w:val="00871E4C"/>
    <w:rsid w:val="00872918"/>
    <w:rsid w:val="00872D07"/>
    <w:rsid w:val="00872FED"/>
    <w:rsid w:val="00873C98"/>
    <w:rsid w:val="008744DA"/>
    <w:rsid w:val="00877CA3"/>
    <w:rsid w:val="008809D6"/>
    <w:rsid w:val="0088143E"/>
    <w:rsid w:val="008819D9"/>
    <w:rsid w:val="00883607"/>
    <w:rsid w:val="008836E6"/>
    <w:rsid w:val="0088587D"/>
    <w:rsid w:val="00885A8F"/>
    <w:rsid w:val="00885E15"/>
    <w:rsid w:val="00886913"/>
    <w:rsid w:val="00886E49"/>
    <w:rsid w:val="00886EA7"/>
    <w:rsid w:val="008911F2"/>
    <w:rsid w:val="008917BF"/>
    <w:rsid w:val="00891EF9"/>
    <w:rsid w:val="008923B6"/>
    <w:rsid w:val="00892B4C"/>
    <w:rsid w:val="008931FC"/>
    <w:rsid w:val="00893256"/>
    <w:rsid w:val="00893268"/>
    <w:rsid w:val="0089344F"/>
    <w:rsid w:val="008935BF"/>
    <w:rsid w:val="00893C4C"/>
    <w:rsid w:val="008943F8"/>
    <w:rsid w:val="00894520"/>
    <w:rsid w:val="00894C02"/>
    <w:rsid w:val="00894C6F"/>
    <w:rsid w:val="008953BE"/>
    <w:rsid w:val="00895AB1"/>
    <w:rsid w:val="00895D57"/>
    <w:rsid w:val="00896E24"/>
    <w:rsid w:val="00897073"/>
    <w:rsid w:val="008973DC"/>
    <w:rsid w:val="00897D4E"/>
    <w:rsid w:val="008A0726"/>
    <w:rsid w:val="008A119F"/>
    <w:rsid w:val="008A1A08"/>
    <w:rsid w:val="008A2025"/>
    <w:rsid w:val="008A420E"/>
    <w:rsid w:val="008A43C9"/>
    <w:rsid w:val="008A4D60"/>
    <w:rsid w:val="008A589C"/>
    <w:rsid w:val="008A5DBB"/>
    <w:rsid w:val="008A6CCC"/>
    <w:rsid w:val="008A6EAD"/>
    <w:rsid w:val="008A72B5"/>
    <w:rsid w:val="008B1544"/>
    <w:rsid w:val="008B21EF"/>
    <w:rsid w:val="008B29FF"/>
    <w:rsid w:val="008B3130"/>
    <w:rsid w:val="008B5251"/>
    <w:rsid w:val="008B547D"/>
    <w:rsid w:val="008B5ACB"/>
    <w:rsid w:val="008B5C48"/>
    <w:rsid w:val="008B6594"/>
    <w:rsid w:val="008B65C4"/>
    <w:rsid w:val="008B6744"/>
    <w:rsid w:val="008B7F10"/>
    <w:rsid w:val="008C0146"/>
    <w:rsid w:val="008C0445"/>
    <w:rsid w:val="008C07C2"/>
    <w:rsid w:val="008C0E0D"/>
    <w:rsid w:val="008C1737"/>
    <w:rsid w:val="008C352E"/>
    <w:rsid w:val="008C35AF"/>
    <w:rsid w:val="008C3884"/>
    <w:rsid w:val="008C40D0"/>
    <w:rsid w:val="008C4315"/>
    <w:rsid w:val="008C43C8"/>
    <w:rsid w:val="008C4913"/>
    <w:rsid w:val="008C6D28"/>
    <w:rsid w:val="008C7832"/>
    <w:rsid w:val="008D0085"/>
    <w:rsid w:val="008D1CAC"/>
    <w:rsid w:val="008D2EF5"/>
    <w:rsid w:val="008D3D99"/>
    <w:rsid w:val="008D4C9C"/>
    <w:rsid w:val="008D4CB5"/>
    <w:rsid w:val="008D5A97"/>
    <w:rsid w:val="008D5BA1"/>
    <w:rsid w:val="008D657E"/>
    <w:rsid w:val="008D7AAA"/>
    <w:rsid w:val="008D7AB2"/>
    <w:rsid w:val="008E168C"/>
    <w:rsid w:val="008E2D60"/>
    <w:rsid w:val="008E4F30"/>
    <w:rsid w:val="008E6A5C"/>
    <w:rsid w:val="008E70B1"/>
    <w:rsid w:val="008E7404"/>
    <w:rsid w:val="008E7B3D"/>
    <w:rsid w:val="008F0B93"/>
    <w:rsid w:val="008F1003"/>
    <w:rsid w:val="008F255E"/>
    <w:rsid w:val="008F338F"/>
    <w:rsid w:val="008F3753"/>
    <w:rsid w:val="008F3DC8"/>
    <w:rsid w:val="008F50E9"/>
    <w:rsid w:val="008F5D6A"/>
    <w:rsid w:val="008F5F7F"/>
    <w:rsid w:val="008F6D7B"/>
    <w:rsid w:val="00900130"/>
    <w:rsid w:val="00900EB6"/>
    <w:rsid w:val="009018BF"/>
    <w:rsid w:val="00901F4F"/>
    <w:rsid w:val="009030C6"/>
    <w:rsid w:val="00903A35"/>
    <w:rsid w:val="009043D4"/>
    <w:rsid w:val="00904D62"/>
    <w:rsid w:val="00904DF9"/>
    <w:rsid w:val="009054CD"/>
    <w:rsid w:val="00905BA4"/>
    <w:rsid w:val="009067A9"/>
    <w:rsid w:val="009078EA"/>
    <w:rsid w:val="00910317"/>
    <w:rsid w:val="00910EB3"/>
    <w:rsid w:val="00910FA4"/>
    <w:rsid w:val="00911651"/>
    <w:rsid w:val="009122B8"/>
    <w:rsid w:val="00912607"/>
    <w:rsid w:val="0091332A"/>
    <w:rsid w:val="00913A44"/>
    <w:rsid w:val="00914975"/>
    <w:rsid w:val="00914FFA"/>
    <w:rsid w:val="009160FD"/>
    <w:rsid w:val="00916627"/>
    <w:rsid w:val="00917FCB"/>
    <w:rsid w:val="00920AF4"/>
    <w:rsid w:val="00921D07"/>
    <w:rsid w:val="0092254D"/>
    <w:rsid w:val="00922624"/>
    <w:rsid w:val="00922F07"/>
    <w:rsid w:val="00923BDA"/>
    <w:rsid w:val="00925394"/>
    <w:rsid w:val="00926133"/>
    <w:rsid w:val="00926363"/>
    <w:rsid w:val="00926381"/>
    <w:rsid w:val="00926C48"/>
    <w:rsid w:val="00930388"/>
    <w:rsid w:val="009303AA"/>
    <w:rsid w:val="00930C68"/>
    <w:rsid w:val="009310F3"/>
    <w:rsid w:val="00931387"/>
    <w:rsid w:val="009319B2"/>
    <w:rsid w:val="00932286"/>
    <w:rsid w:val="00933752"/>
    <w:rsid w:val="00933EE1"/>
    <w:rsid w:val="00933FAF"/>
    <w:rsid w:val="00935398"/>
    <w:rsid w:val="0093617A"/>
    <w:rsid w:val="009364A1"/>
    <w:rsid w:val="0093659D"/>
    <w:rsid w:val="009366F9"/>
    <w:rsid w:val="009374E3"/>
    <w:rsid w:val="009411A5"/>
    <w:rsid w:val="00941A52"/>
    <w:rsid w:val="00941B5E"/>
    <w:rsid w:val="00942B42"/>
    <w:rsid w:val="0094376A"/>
    <w:rsid w:val="009439BF"/>
    <w:rsid w:val="00946016"/>
    <w:rsid w:val="00946A7C"/>
    <w:rsid w:val="0094737C"/>
    <w:rsid w:val="00947853"/>
    <w:rsid w:val="0095026F"/>
    <w:rsid w:val="0095086B"/>
    <w:rsid w:val="00950D02"/>
    <w:rsid w:val="00950DB1"/>
    <w:rsid w:val="0095133D"/>
    <w:rsid w:val="00952C83"/>
    <w:rsid w:val="009531FA"/>
    <w:rsid w:val="00954715"/>
    <w:rsid w:val="0095525D"/>
    <w:rsid w:val="00955583"/>
    <w:rsid w:val="00956087"/>
    <w:rsid w:val="00956DEC"/>
    <w:rsid w:val="00957418"/>
    <w:rsid w:val="009579D8"/>
    <w:rsid w:val="00960663"/>
    <w:rsid w:val="009610C6"/>
    <w:rsid w:val="0096194F"/>
    <w:rsid w:val="00962D4E"/>
    <w:rsid w:val="00962F9F"/>
    <w:rsid w:val="00963C1D"/>
    <w:rsid w:val="00963CE6"/>
    <w:rsid w:val="009656FB"/>
    <w:rsid w:val="00965AAA"/>
    <w:rsid w:val="00966C60"/>
    <w:rsid w:val="00966E7D"/>
    <w:rsid w:val="00970059"/>
    <w:rsid w:val="00970630"/>
    <w:rsid w:val="00970B71"/>
    <w:rsid w:val="00971A1F"/>
    <w:rsid w:val="00971B9B"/>
    <w:rsid w:val="00972AD3"/>
    <w:rsid w:val="00972D52"/>
    <w:rsid w:val="009734B7"/>
    <w:rsid w:val="00973B38"/>
    <w:rsid w:val="00976A03"/>
    <w:rsid w:val="00980CA9"/>
    <w:rsid w:val="009812BA"/>
    <w:rsid w:val="009816EE"/>
    <w:rsid w:val="00981795"/>
    <w:rsid w:val="0098179C"/>
    <w:rsid w:val="00981C58"/>
    <w:rsid w:val="00982396"/>
    <w:rsid w:val="00983368"/>
    <w:rsid w:val="00983636"/>
    <w:rsid w:val="00983FE2"/>
    <w:rsid w:val="009841BB"/>
    <w:rsid w:val="009858DC"/>
    <w:rsid w:val="00985DE4"/>
    <w:rsid w:val="00986166"/>
    <w:rsid w:val="00986B97"/>
    <w:rsid w:val="00990D46"/>
    <w:rsid w:val="00992E2A"/>
    <w:rsid w:val="00993279"/>
    <w:rsid w:val="009932A6"/>
    <w:rsid w:val="0099363C"/>
    <w:rsid w:val="00993745"/>
    <w:rsid w:val="00993935"/>
    <w:rsid w:val="00994150"/>
    <w:rsid w:val="00994A41"/>
    <w:rsid w:val="00994CBA"/>
    <w:rsid w:val="0099570E"/>
    <w:rsid w:val="0099583B"/>
    <w:rsid w:val="00996399"/>
    <w:rsid w:val="00997928"/>
    <w:rsid w:val="009A0448"/>
    <w:rsid w:val="009A155B"/>
    <w:rsid w:val="009A182E"/>
    <w:rsid w:val="009A2391"/>
    <w:rsid w:val="009A380A"/>
    <w:rsid w:val="009A38D9"/>
    <w:rsid w:val="009A393D"/>
    <w:rsid w:val="009A3A36"/>
    <w:rsid w:val="009A4097"/>
    <w:rsid w:val="009A4F31"/>
    <w:rsid w:val="009A5C2B"/>
    <w:rsid w:val="009A5E38"/>
    <w:rsid w:val="009A69D0"/>
    <w:rsid w:val="009A6A64"/>
    <w:rsid w:val="009A6B36"/>
    <w:rsid w:val="009A6EF7"/>
    <w:rsid w:val="009A712B"/>
    <w:rsid w:val="009A719E"/>
    <w:rsid w:val="009A777D"/>
    <w:rsid w:val="009B05AD"/>
    <w:rsid w:val="009B18A3"/>
    <w:rsid w:val="009B1E66"/>
    <w:rsid w:val="009B21DF"/>
    <w:rsid w:val="009B29A9"/>
    <w:rsid w:val="009B2B5D"/>
    <w:rsid w:val="009B389C"/>
    <w:rsid w:val="009B48C1"/>
    <w:rsid w:val="009B514A"/>
    <w:rsid w:val="009B5189"/>
    <w:rsid w:val="009B5557"/>
    <w:rsid w:val="009B58B0"/>
    <w:rsid w:val="009B63DC"/>
    <w:rsid w:val="009B695B"/>
    <w:rsid w:val="009C0136"/>
    <w:rsid w:val="009C0273"/>
    <w:rsid w:val="009C07DB"/>
    <w:rsid w:val="009C3464"/>
    <w:rsid w:val="009C36F7"/>
    <w:rsid w:val="009C5EB4"/>
    <w:rsid w:val="009C7043"/>
    <w:rsid w:val="009D0097"/>
    <w:rsid w:val="009D1BAC"/>
    <w:rsid w:val="009D3388"/>
    <w:rsid w:val="009D45B9"/>
    <w:rsid w:val="009D4605"/>
    <w:rsid w:val="009D5A92"/>
    <w:rsid w:val="009D6352"/>
    <w:rsid w:val="009D6400"/>
    <w:rsid w:val="009D6AA9"/>
    <w:rsid w:val="009D6ACD"/>
    <w:rsid w:val="009D6C39"/>
    <w:rsid w:val="009D6DE3"/>
    <w:rsid w:val="009D732D"/>
    <w:rsid w:val="009D74AA"/>
    <w:rsid w:val="009D7770"/>
    <w:rsid w:val="009D7C12"/>
    <w:rsid w:val="009E0405"/>
    <w:rsid w:val="009E0607"/>
    <w:rsid w:val="009E0789"/>
    <w:rsid w:val="009E0CDC"/>
    <w:rsid w:val="009E190C"/>
    <w:rsid w:val="009E1D8F"/>
    <w:rsid w:val="009E2567"/>
    <w:rsid w:val="009E2F21"/>
    <w:rsid w:val="009E3D55"/>
    <w:rsid w:val="009E3E38"/>
    <w:rsid w:val="009E445B"/>
    <w:rsid w:val="009E44C0"/>
    <w:rsid w:val="009E6533"/>
    <w:rsid w:val="009F0213"/>
    <w:rsid w:val="009F0E7B"/>
    <w:rsid w:val="009F1D78"/>
    <w:rsid w:val="009F2158"/>
    <w:rsid w:val="009F28B6"/>
    <w:rsid w:val="009F3226"/>
    <w:rsid w:val="009F347B"/>
    <w:rsid w:val="009F3DF8"/>
    <w:rsid w:val="009F450F"/>
    <w:rsid w:val="009F47BC"/>
    <w:rsid w:val="009F4F1D"/>
    <w:rsid w:val="009F5FE0"/>
    <w:rsid w:val="009F630C"/>
    <w:rsid w:val="009F65A8"/>
    <w:rsid w:val="009F73FD"/>
    <w:rsid w:val="009F7747"/>
    <w:rsid w:val="009F7AF7"/>
    <w:rsid w:val="00A012D4"/>
    <w:rsid w:val="00A01497"/>
    <w:rsid w:val="00A05977"/>
    <w:rsid w:val="00A05A33"/>
    <w:rsid w:val="00A05C6D"/>
    <w:rsid w:val="00A06895"/>
    <w:rsid w:val="00A07CC0"/>
    <w:rsid w:val="00A10569"/>
    <w:rsid w:val="00A105B2"/>
    <w:rsid w:val="00A12333"/>
    <w:rsid w:val="00A14086"/>
    <w:rsid w:val="00A1471B"/>
    <w:rsid w:val="00A14A70"/>
    <w:rsid w:val="00A14F22"/>
    <w:rsid w:val="00A1641C"/>
    <w:rsid w:val="00A16996"/>
    <w:rsid w:val="00A16F82"/>
    <w:rsid w:val="00A171CA"/>
    <w:rsid w:val="00A171E5"/>
    <w:rsid w:val="00A17378"/>
    <w:rsid w:val="00A17810"/>
    <w:rsid w:val="00A205E8"/>
    <w:rsid w:val="00A21037"/>
    <w:rsid w:val="00A21523"/>
    <w:rsid w:val="00A21D4F"/>
    <w:rsid w:val="00A21E9F"/>
    <w:rsid w:val="00A226C6"/>
    <w:rsid w:val="00A25745"/>
    <w:rsid w:val="00A25F51"/>
    <w:rsid w:val="00A261CF"/>
    <w:rsid w:val="00A26720"/>
    <w:rsid w:val="00A275FE"/>
    <w:rsid w:val="00A3071C"/>
    <w:rsid w:val="00A31ABA"/>
    <w:rsid w:val="00A3288C"/>
    <w:rsid w:val="00A32BA1"/>
    <w:rsid w:val="00A3325A"/>
    <w:rsid w:val="00A33AC6"/>
    <w:rsid w:val="00A33BD9"/>
    <w:rsid w:val="00A33BEC"/>
    <w:rsid w:val="00A34381"/>
    <w:rsid w:val="00A3518B"/>
    <w:rsid w:val="00A36F6B"/>
    <w:rsid w:val="00A37823"/>
    <w:rsid w:val="00A40C3F"/>
    <w:rsid w:val="00A4182C"/>
    <w:rsid w:val="00A43318"/>
    <w:rsid w:val="00A443C3"/>
    <w:rsid w:val="00A44CDF"/>
    <w:rsid w:val="00A44D57"/>
    <w:rsid w:val="00A46D3C"/>
    <w:rsid w:val="00A473D5"/>
    <w:rsid w:val="00A50B2A"/>
    <w:rsid w:val="00A50B83"/>
    <w:rsid w:val="00A515C8"/>
    <w:rsid w:val="00A515E2"/>
    <w:rsid w:val="00A51CDD"/>
    <w:rsid w:val="00A51EA0"/>
    <w:rsid w:val="00A52985"/>
    <w:rsid w:val="00A52DF2"/>
    <w:rsid w:val="00A537D5"/>
    <w:rsid w:val="00A53902"/>
    <w:rsid w:val="00A54605"/>
    <w:rsid w:val="00A54709"/>
    <w:rsid w:val="00A54A48"/>
    <w:rsid w:val="00A54C98"/>
    <w:rsid w:val="00A551E2"/>
    <w:rsid w:val="00A560D5"/>
    <w:rsid w:val="00A56849"/>
    <w:rsid w:val="00A60F89"/>
    <w:rsid w:val="00A619AF"/>
    <w:rsid w:val="00A64059"/>
    <w:rsid w:val="00A6524F"/>
    <w:rsid w:val="00A656E5"/>
    <w:rsid w:val="00A67DD5"/>
    <w:rsid w:val="00A70946"/>
    <w:rsid w:val="00A7173C"/>
    <w:rsid w:val="00A71A25"/>
    <w:rsid w:val="00A73842"/>
    <w:rsid w:val="00A74162"/>
    <w:rsid w:val="00A76953"/>
    <w:rsid w:val="00A775C4"/>
    <w:rsid w:val="00A777A9"/>
    <w:rsid w:val="00A778C1"/>
    <w:rsid w:val="00A809DB"/>
    <w:rsid w:val="00A81244"/>
    <w:rsid w:val="00A81657"/>
    <w:rsid w:val="00A81C10"/>
    <w:rsid w:val="00A82773"/>
    <w:rsid w:val="00A83EBC"/>
    <w:rsid w:val="00A842ED"/>
    <w:rsid w:val="00A86EB5"/>
    <w:rsid w:val="00A87178"/>
    <w:rsid w:val="00A908DE"/>
    <w:rsid w:val="00A90BF3"/>
    <w:rsid w:val="00A91773"/>
    <w:rsid w:val="00A92588"/>
    <w:rsid w:val="00A92854"/>
    <w:rsid w:val="00A92CA8"/>
    <w:rsid w:val="00A93A75"/>
    <w:rsid w:val="00A95DEF"/>
    <w:rsid w:val="00A96E6C"/>
    <w:rsid w:val="00A973EB"/>
    <w:rsid w:val="00A977A5"/>
    <w:rsid w:val="00AA00D3"/>
    <w:rsid w:val="00AA0757"/>
    <w:rsid w:val="00AA0BEC"/>
    <w:rsid w:val="00AA14B8"/>
    <w:rsid w:val="00AA1889"/>
    <w:rsid w:val="00AA1FA5"/>
    <w:rsid w:val="00AA39B1"/>
    <w:rsid w:val="00AA3F59"/>
    <w:rsid w:val="00AA4445"/>
    <w:rsid w:val="00AA446F"/>
    <w:rsid w:val="00AA4645"/>
    <w:rsid w:val="00AA5147"/>
    <w:rsid w:val="00AA5A1B"/>
    <w:rsid w:val="00AA61ED"/>
    <w:rsid w:val="00AA63E1"/>
    <w:rsid w:val="00AA6C32"/>
    <w:rsid w:val="00AA7C93"/>
    <w:rsid w:val="00AB0AAF"/>
    <w:rsid w:val="00AB0F89"/>
    <w:rsid w:val="00AB10E3"/>
    <w:rsid w:val="00AB1B62"/>
    <w:rsid w:val="00AB251B"/>
    <w:rsid w:val="00AB395F"/>
    <w:rsid w:val="00AB5108"/>
    <w:rsid w:val="00AB6090"/>
    <w:rsid w:val="00AB6222"/>
    <w:rsid w:val="00AB6D34"/>
    <w:rsid w:val="00AC09AC"/>
    <w:rsid w:val="00AC16CA"/>
    <w:rsid w:val="00AC23CE"/>
    <w:rsid w:val="00AC24BF"/>
    <w:rsid w:val="00AC26F4"/>
    <w:rsid w:val="00AC2A05"/>
    <w:rsid w:val="00AC2D89"/>
    <w:rsid w:val="00AC4CDF"/>
    <w:rsid w:val="00AC5745"/>
    <w:rsid w:val="00AC5C52"/>
    <w:rsid w:val="00AC7117"/>
    <w:rsid w:val="00AC79A8"/>
    <w:rsid w:val="00AD21BD"/>
    <w:rsid w:val="00AD230A"/>
    <w:rsid w:val="00AD299E"/>
    <w:rsid w:val="00AD2AF9"/>
    <w:rsid w:val="00AD2C6F"/>
    <w:rsid w:val="00AD56C4"/>
    <w:rsid w:val="00AD6E16"/>
    <w:rsid w:val="00AD7990"/>
    <w:rsid w:val="00AD7FE5"/>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4D66"/>
    <w:rsid w:val="00AF57A9"/>
    <w:rsid w:val="00AF614D"/>
    <w:rsid w:val="00B00A42"/>
    <w:rsid w:val="00B031EF"/>
    <w:rsid w:val="00B05BE7"/>
    <w:rsid w:val="00B066CA"/>
    <w:rsid w:val="00B103F8"/>
    <w:rsid w:val="00B1071B"/>
    <w:rsid w:val="00B10C9B"/>
    <w:rsid w:val="00B111FF"/>
    <w:rsid w:val="00B11405"/>
    <w:rsid w:val="00B1238C"/>
    <w:rsid w:val="00B125F3"/>
    <w:rsid w:val="00B127AB"/>
    <w:rsid w:val="00B138E9"/>
    <w:rsid w:val="00B13D27"/>
    <w:rsid w:val="00B15897"/>
    <w:rsid w:val="00B15CF0"/>
    <w:rsid w:val="00B163EC"/>
    <w:rsid w:val="00B16717"/>
    <w:rsid w:val="00B172B6"/>
    <w:rsid w:val="00B1756E"/>
    <w:rsid w:val="00B179E3"/>
    <w:rsid w:val="00B20543"/>
    <w:rsid w:val="00B20899"/>
    <w:rsid w:val="00B20E26"/>
    <w:rsid w:val="00B20E31"/>
    <w:rsid w:val="00B227A8"/>
    <w:rsid w:val="00B23B40"/>
    <w:rsid w:val="00B23DF4"/>
    <w:rsid w:val="00B23F83"/>
    <w:rsid w:val="00B245AA"/>
    <w:rsid w:val="00B25423"/>
    <w:rsid w:val="00B254E0"/>
    <w:rsid w:val="00B255DD"/>
    <w:rsid w:val="00B260D3"/>
    <w:rsid w:val="00B26E2E"/>
    <w:rsid w:val="00B2771E"/>
    <w:rsid w:val="00B279F7"/>
    <w:rsid w:val="00B301E9"/>
    <w:rsid w:val="00B31A1E"/>
    <w:rsid w:val="00B34489"/>
    <w:rsid w:val="00B34BC1"/>
    <w:rsid w:val="00B34C4D"/>
    <w:rsid w:val="00B34FF8"/>
    <w:rsid w:val="00B355CE"/>
    <w:rsid w:val="00B368D2"/>
    <w:rsid w:val="00B3763B"/>
    <w:rsid w:val="00B37788"/>
    <w:rsid w:val="00B3786D"/>
    <w:rsid w:val="00B40B98"/>
    <w:rsid w:val="00B40EAC"/>
    <w:rsid w:val="00B41DB8"/>
    <w:rsid w:val="00B421CD"/>
    <w:rsid w:val="00B4265E"/>
    <w:rsid w:val="00B42C20"/>
    <w:rsid w:val="00B43645"/>
    <w:rsid w:val="00B4370D"/>
    <w:rsid w:val="00B442CF"/>
    <w:rsid w:val="00B456A2"/>
    <w:rsid w:val="00B458FE"/>
    <w:rsid w:val="00B4680A"/>
    <w:rsid w:val="00B50487"/>
    <w:rsid w:val="00B51313"/>
    <w:rsid w:val="00B51438"/>
    <w:rsid w:val="00B51DA1"/>
    <w:rsid w:val="00B51EDB"/>
    <w:rsid w:val="00B53773"/>
    <w:rsid w:val="00B53BEC"/>
    <w:rsid w:val="00B53C19"/>
    <w:rsid w:val="00B543E1"/>
    <w:rsid w:val="00B54730"/>
    <w:rsid w:val="00B54B61"/>
    <w:rsid w:val="00B56091"/>
    <w:rsid w:val="00B572FB"/>
    <w:rsid w:val="00B57541"/>
    <w:rsid w:val="00B60C0B"/>
    <w:rsid w:val="00B60F6C"/>
    <w:rsid w:val="00B61260"/>
    <w:rsid w:val="00B615BC"/>
    <w:rsid w:val="00B61D63"/>
    <w:rsid w:val="00B61F15"/>
    <w:rsid w:val="00B62919"/>
    <w:rsid w:val="00B633A3"/>
    <w:rsid w:val="00B63528"/>
    <w:rsid w:val="00B63574"/>
    <w:rsid w:val="00B63A07"/>
    <w:rsid w:val="00B663FA"/>
    <w:rsid w:val="00B67025"/>
    <w:rsid w:val="00B67616"/>
    <w:rsid w:val="00B6762A"/>
    <w:rsid w:val="00B6765B"/>
    <w:rsid w:val="00B718A4"/>
    <w:rsid w:val="00B71EEA"/>
    <w:rsid w:val="00B72FF4"/>
    <w:rsid w:val="00B76824"/>
    <w:rsid w:val="00B806E5"/>
    <w:rsid w:val="00B81C3C"/>
    <w:rsid w:val="00B82D7C"/>
    <w:rsid w:val="00B8364E"/>
    <w:rsid w:val="00B83E56"/>
    <w:rsid w:val="00B84439"/>
    <w:rsid w:val="00B84CE9"/>
    <w:rsid w:val="00B86601"/>
    <w:rsid w:val="00B87AB7"/>
    <w:rsid w:val="00B87CB7"/>
    <w:rsid w:val="00B9082A"/>
    <w:rsid w:val="00B9137B"/>
    <w:rsid w:val="00B913F9"/>
    <w:rsid w:val="00B92424"/>
    <w:rsid w:val="00B92CA1"/>
    <w:rsid w:val="00B9358E"/>
    <w:rsid w:val="00B96833"/>
    <w:rsid w:val="00B97194"/>
    <w:rsid w:val="00BA0E2D"/>
    <w:rsid w:val="00BA12A2"/>
    <w:rsid w:val="00BA1697"/>
    <w:rsid w:val="00BA2961"/>
    <w:rsid w:val="00BA403B"/>
    <w:rsid w:val="00BA5D4F"/>
    <w:rsid w:val="00BA6DAB"/>
    <w:rsid w:val="00BA72B7"/>
    <w:rsid w:val="00BA7674"/>
    <w:rsid w:val="00BB0837"/>
    <w:rsid w:val="00BB08C4"/>
    <w:rsid w:val="00BB0E43"/>
    <w:rsid w:val="00BB193A"/>
    <w:rsid w:val="00BB1C3C"/>
    <w:rsid w:val="00BB2404"/>
    <w:rsid w:val="00BB2502"/>
    <w:rsid w:val="00BB3A76"/>
    <w:rsid w:val="00BB4733"/>
    <w:rsid w:val="00BB5F27"/>
    <w:rsid w:val="00BB74D1"/>
    <w:rsid w:val="00BC048A"/>
    <w:rsid w:val="00BC075D"/>
    <w:rsid w:val="00BC0B62"/>
    <w:rsid w:val="00BC0E5A"/>
    <w:rsid w:val="00BC1478"/>
    <w:rsid w:val="00BC1EF6"/>
    <w:rsid w:val="00BC34B2"/>
    <w:rsid w:val="00BC423F"/>
    <w:rsid w:val="00BC4BF4"/>
    <w:rsid w:val="00BC5F5E"/>
    <w:rsid w:val="00BC6343"/>
    <w:rsid w:val="00BC7900"/>
    <w:rsid w:val="00BD02B9"/>
    <w:rsid w:val="00BD0D62"/>
    <w:rsid w:val="00BD14DA"/>
    <w:rsid w:val="00BD3692"/>
    <w:rsid w:val="00BD3F82"/>
    <w:rsid w:val="00BD46FC"/>
    <w:rsid w:val="00BD4F22"/>
    <w:rsid w:val="00BD4F9B"/>
    <w:rsid w:val="00BD72A5"/>
    <w:rsid w:val="00BE02A4"/>
    <w:rsid w:val="00BE0FEB"/>
    <w:rsid w:val="00BE101D"/>
    <w:rsid w:val="00BE22EC"/>
    <w:rsid w:val="00BE276F"/>
    <w:rsid w:val="00BE30C1"/>
    <w:rsid w:val="00BE39D2"/>
    <w:rsid w:val="00BE5D22"/>
    <w:rsid w:val="00BE60D3"/>
    <w:rsid w:val="00BE6B25"/>
    <w:rsid w:val="00BF012C"/>
    <w:rsid w:val="00BF0FFC"/>
    <w:rsid w:val="00BF1670"/>
    <w:rsid w:val="00BF2FE3"/>
    <w:rsid w:val="00BF330E"/>
    <w:rsid w:val="00BF381B"/>
    <w:rsid w:val="00BF4DBB"/>
    <w:rsid w:val="00BF526E"/>
    <w:rsid w:val="00BF5393"/>
    <w:rsid w:val="00BF5491"/>
    <w:rsid w:val="00BF743C"/>
    <w:rsid w:val="00BF78C1"/>
    <w:rsid w:val="00C00459"/>
    <w:rsid w:val="00C02552"/>
    <w:rsid w:val="00C02E6D"/>
    <w:rsid w:val="00C039FD"/>
    <w:rsid w:val="00C04101"/>
    <w:rsid w:val="00C0456F"/>
    <w:rsid w:val="00C045D4"/>
    <w:rsid w:val="00C046E7"/>
    <w:rsid w:val="00C04EC4"/>
    <w:rsid w:val="00C04FD4"/>
    <w:rsid w:val="00C05076"/>
    <w:rsid w:val="00C061E3"/>
    <w:rsid w:val="00C06D99"/>
    <w:rsid w:val="00C07263"/>
    <w:rsid w:val="00C07C74"/>
    <w:rsid w:val="00C1022E"/>
    <w:rsid w:val="00C1023C"/>
    <w:rsid w:val="00C12784"/>
    <w:rsid w:val="00C12820"/>
    <w:rsid w:val="00C1485F"/>
    <w:rsid w:val="00C151CD"/>
    <w:rsid w:val="00C1574A"/>
    <w:rsid w:val="00C15796"/>
    <w:rsid w:val="00C16276"/>
    <w:rsid w:val="00C1659E"/>
    <w:rsid w:val="00C202B8"/>
    <w:rsid w:val="00C20734"/>
    <w:rsid w:val="00C20EA3"/>
    <w:rsid w:val="00C2142E"/>
    <w:rsid w:val="00C22FCF"/>
    <w:rsid w:val="00C2334E"/>
    <w:rsid w:val="00C23D39"/>
    <w:rsid w:val="00C2713A"/>
    <w:rsid w:val="00C2788D"/>
    <w:rsid w:val="00C30578"/>
    <w:rsid w:val="00C320F1"/>
    <w:rsid w:val="00C326C0"/>
    <w:rsid w:val="00C333BB"/>
    <w:rsid w:val="00C33A75"/>
    <w:rsid w:val="00C3414C"/>
    <w:rsid w:val="00C34FD0"/>
    <w:rsid w:val="00C35189"/>
    <w:rsid w:val="00C35EB6"/>
    <w:rsid w:val="00C35ECE"/>
    <w:rsid w:val="00C35F40"/>
    <w:rsid w:val="00C37263"/>
    <w:rsid w:val="00C3754E"/>
    <w:rsid w:val="00C37955"/>
    <w:rsid w:val="00C40701"/>
    <w:rsid w:val="00C40A4A"/>
    <w:rsid w:val="00C4105A"/>
    <w:rsid w:val="00C41F5F"/>
    <w:rsid w:val="00C44746"/>
    <w:rsid w:val="00C447C8"/>
    <w:rsid w:val="00C46196"/>
    <w:rsid w:val="00C46599"/>
    <w:rsid w:val="00C4782F"/>
    <w:rsid w:val="00C52A48"/>
    <w:rsid w:val="00C539D6"/>
    <w:rsid w:val="00C54247"/>
    <w:rsid w:val="00C54365"/>
    <w:rsid w:val="00C560EF"/>
    <w:rsid w:val="00C5670C"/>
    <w:rsid w:val="00C56F72"/>
    <w:rsid w:val="00C573A9"/>
    <w:rsid w:val="00C6176C"/>
    <w:rsid w:val="00C619A6"/>
    <w:rsid w:val="00C61CF7"/>
    <w:rsid w:val="00C625E3"/>
    <w:rsid w:val="00C6261B"/>
    <w:rsid w:val="00C646BC"/>
    <w:rsid w:val="00C6688B"/>
    <w:rsid w:val="00C669E1"/>
    <w:rsid w:val="00C679D8"/>
    <w:rsid w:val="00C67AE3"/>
    <w:rsid w:val="00C70AE9"/>
    <w:rsid w:val="00C71BEB"/>
    <w:rsid w:val="00C72E98"/>
    <w:rsid w:val="00C73B24"/>
    <w:rsid w:val="00C73F48"/>
    <w:rsid w:val="00C74FB2"/>
    <w:rsid w:val="00C76070"/>
    <w:rsid w:val="00C76271"/>
    <w:rsid w:val="00C7760C"/>
    <w:rsid w:val="00C7772D"/>
    <w:rsid w:val="00C8112D"/>
    <w:rsid w:val="00C813E5"/>
    <w:rsid w:val="00C82148"/>
    <w:rsid w:val="00C829B3"/>
    <w:rsid w:val="00C83044"/>
    <w:rsid w:val="00C84330"/>
    <w:rsid w:val="00C84C43"/>
    <w:rsid w:val="00C855D2"/>
    <w:rsid w:val="00C85770"/>
    <w:rsid w:val="00C86B2D"/>
    <w:rsid w:val="00C87A44"/>
    <w:rsid w:val="00C87FCA"/>
    <w:rsid w:val="00C90262"/>
    <w:rsid w:val="00C909E0"/>
    <w:rsid w:val="00C90E0C"/>
    <w:rsid w:val="00C920B9"/>
    <w:rsid w:val="00C922BC"/>
    <w:rsid w:val="00C925E7"/>
    <w:rsid w:val="00C92B62"/>
    <w:rsid w:val="00C935B7"/>
    <w:rsid w:val="00C93CA1"/>
    <w:rsid w:val="00C94590"/>
    <w:rsid w:val="00C946B7"/>
    <w:rsid w:val="00C946D9"/>
    <w:rsid w:val="00C95BDC"/>
    <w:rsid w:val="00C974A6"/>
    <w:rsid w:val="00C97A03"/>
    <w:rsid w:val="00CA09F5"/>
    <w:rsid w:val="00CA0C54"/>
    <w:rsid w:val="00CA137E"/>
    <w:rsid w:val="00CA152B"/>
    <w:rsid w:val="00CA155B"/>
    <w:rsid w:val="00CA18A9"/>
    <w:rsid w:val="00CA3763"/>
    <w:rsid w:val="00CA4A83"/>
    <w:rsid w:val="00CA4BD7"/>
    <w:rsid w:val="00CA6988"/>
    <w:rsid w:val="00CA6E6E"/>
    <w:rsid w:val="00CA7AA2"/>
    <w:rsid w:val="00CB0071"/>
    <w:rsid w:val="00CB03D7"/>
    <w:rsid w:val="00CB046A"/>
    <w:rsid w:val="00CB0B81"/>
    <w:rsid w:val="00CB1F0A"/>
    <w:rsid w:val="00CB27B7"/>
    <w:rsid w:val="00CB2CEE"/>
    <w:rsid w:val="00CB5B10"/>
    <w:rsid w:val="00CB7FB3"/>
    <w:rsid w:val="00CC01B0"/>
    <w:rsid w:val="00CC09CC"/>
    <w:rsid w:val="00CC0AC4"/>
    <w:rsid w:val="00CC11A8"/>
    <w:rsid w:val="00CC1BA6"/>
    <w:rsid w:val="00CC2F70"/>
    <w:rsid w:val="00CC4509"/>
    <w:rsid w:val="00CC4B36"/>
    <w:rsid w:val="00CC51ED"/>
    <w:rsid w:val="00CC6190"/>
    <w:rsid w:val="00CC6312"/>
    <w:rsid w:val="00CC6406"/>
    <w:rsid w:val="00CC6B98"/>
    <w:rsid w:val="00CD1A99"/>
    <w:rsid w:val="00CD2544"/>
    <w:rsid w:val="00CD3363"/>
    <w:rsid w:val="00CD3642"/>
    <w:rsid w:val="00CD3758"/>
    <w:rsid w:val="00CD3865"/>
    <w:rsid w:val="00CD3A0A"/>
    <w:rsid w:val="00CD53D1"/>
    <w:rsid w:val="00CD5AE5"/>
    <w:rsid w:val="00CD5CF0"/>
    <w:rsid w:val="00CD5E4A"/>
    <w:rsid w:val="00CD62C4"/>
    <w:rsid w:val="00CD796A"/>
    <w:rsid w:val="00CE1419"/>
    <w:rsid w:val="00CE32ED"/>
    <w:rsid w:val="00CE5F1E"/>
    <w:rsid w:val="00CF0062"/>
    <w:rsid w:val="00CF195D"/>
    <w:rsid w:val="00CF1FE7"/>
    <w:rsid w:val="00CF25E8"/>
    <w:rsid w:val="00CF262F"/>
    <w:rsid w:val="00CF2976"/>
    <w:rsid w:val="00CF4293"/>
    <w:rsid w:val="00CF4893"/>
    <w:rsid w:val="00CF7538"/>
    <w:rsid w:val="00CF78D0"/>
    <w:rsid w:val="00D01AC8"/>
    <w:rsid w:val="00D02F41"/>
    <w:rsid w:val="00D0330D"/>
    <w:rsid w:val="00D03790"/>
    <w:rsid w:val="00D043FC"/>
    <w:rsid w:val="00D055C5"/>
    <w:rsid w:val="00D06F00"/>
    <w:rsid w:val="00D074F9"/>
    <w:rsid w:val="00D077ED"/>
    <w:rsid w:val="00D10652"/>
    <w:rsid w:val="00D112EB"/>
    <w:rsid w:val="00D11C58"/>
    <w:rsid w:val="00D11D41"/>
    <w:rsid w:val="00D11E58"/>
    <w:rsid w:val="00D12ECC"/>
    <w:rsid w:val="00D13605"/>
    <w:rsid w:val="00D14578"/>
    <w:rsid w:val="00D156DA"/>
    <w:rsid w:val="00D15B0B"/>
    <w:rsid w:val="00D15C83"/>
    <w:rsid w:val="00D15DBF"/>
    <w:rsid w:val="00D16ABF"/>
    <w:rsid w:val="00D16DFA"/>
    <w:rsid w:val="00D172BF"/>
    <w:rsid w:val="00D203E9"/>
    <w:rsid w:val="00D21232"/>
    <w:rsid w:val="00D2186E"/>
    <w:rsid w:val="00D2300B"/>
    <w:rsid w:val="00D23FE2"/>
    <w:rsid w:val="00D24465"/>
    <w:rsid w:val="00D244C6"/>
    <w:rsid w:val="00D2622A"/>
    <w:rsid w:val="00D26F95"/>
    <w:rsid w:val="00D27BF8"/>
    <w:rsid w:val="00D30A07"/>
    <w:rsid w:val="00D30D70"/>
    <w:rsid w:val="00D30FF6"/>
    <w:rsid w:val="00D31413"/>
    <w:rsid w:val="00D319C1"/>
    <w:rsid w:val="00D32EF3"/>
    <w:rsid w:val="00D33B40"/>
    <w:rsid w:val="00D34178"/>
    <w:rsid w:val="00D344F3"/>
    <w:rsid w:val="00D34906"/>
    <w:rsid w:val="00D3662A"/>
    <w:rsid w:val="00D36B4D"/>
    <w:rsid w:val="00D4062B"/>
    <w:rsid w:val="00D40737"/>
    <w:rsid w:val="00D40B36"/>
    <w:rsid w:val="00D435FF"/>
    <w:rsid w:val="00D4425F"/>
    <w:rsid w:val="00D454CB"/>
    <w:rsid w:val="00D4565B"/>
    <w:rsid w:val="00D45F8E"/>
    <w:rsid w:val="00D47961"/>
    <w:rsid w:val="00D50715"/>
    <w:rsid w:val="00D51C7A"/>
    <w:rsid w:val="00D51DBE"/>
    <w:rsid w:val="00D53025"/>
    <w:rsid w:val="00D53812"/>
    <w:rsid w:val="00D53874"/>
    <w:rsid w:val="00D546E2"/>
    <w:rsid w:val="00D54F1B"/>
    <w:rsid w:val="00D54F40"/>
    <w:rsid w:val="00D56C39"/>
    <w:rsid w:val="00D57416"/>
    <w:rsid w:val="00D574FE"/>
    <w:rsid w:val="00D57CD3"/>
    <w:rsid w:val="00D57D7B"/>
    <w:rsid w:val="00D602F7"/>
    <w:rsid w:val="00D604E2"/>
    <w:rsid w:val="00D60C47"/>
    <w:rsid w:val="00D60DA9"/>
    <w:rsid w:val="00D60E0C"/>
    <w:rsid w:val="00D621F6"/>
    <w:rsid w:val="00D6309B"/>
    <w:rsid w:val="00D63793"/>
    <w:rsid w:val="00D64DC9"/>
    <w:rsid w:val="00D65C02"/>
    <w:rsid w:val="00D701BB"/>
    <w:rsid w:val="00D714E2"/>
    <w:rsid w:val="00D72456"/>
    <w:rsid w:val="00D7258A"/>
    <w:rsid w:val="00D7289E"/>
    <w:rsid w:val="00D729FE"/>
    <w:rsid w:val="00D72A85"/>
    <w:rsid w:val="00D72ABA"/>
    <w:rsid w:val="00D73869"/>
    <w:rsid w:val="00D741AD"/>
    <w:rsid w:val="00D75466"/>
    <w:rsid w:val="00D7571F"/>
    <w:rsid w:val="00D76DAE"/>
    <w:rsid w:val="00D80921"/>
    <w:rsid w:val="00D8119D"/>
    <w:rsid w:val="00D819B4"/>
    <w:rsid w:val="00D82051"/>
    <w:rsid w:val="00D8229D"/>
    <w:rsid w:val="00D82646"/>
    <w:rsid w:val="00D82CF5"/>
    <w:rsid w:val="00D82EF9"/>
    <w:rsid w:val="00D838A0"/>
    <w:rsid w:val="00D83B35"/>
    <w:rsid w:val="00D8523E"/>
    <w:rsid w:val="00D86D84"/>
    <w:rsid w:val="00D870B0"/>
    <w:rsid w:val="00D871C4"/>
    <w:rsid w:val="00D8785A"/>
    <w:rsid w:val="00D87A18"/>
    <w:rsid w:val="00D90407"/>
    <w:rsid w:val="00D91349"/>
    <w:rsid w:val="00D92C31"/>
    <w:rsid w:val="00D92E3B"/>
    <w:rsid w:val="00D92E75"/>
    <w:rsid w:val="00D92FFF"/>
    <w:rsid w:val="00D93DB2"/>
    <w:rsid w:val="00D94294"/>
    <w:rsid w:val="00D95650"/>
    <w:rsid w:val="00D960C1"/>
    <w:rsid w:val="00D9688C"/>
    <w:rsid w:val="00D97FE6"/>
    <w:rsid w:val="00DA020A"/>
    <w:rsid w:val="00DA0325"/>
    <w:rsid w:val="00DA06A5"/>
    <w:rsid w:val="00DA0AF6"/>
    <w:rsid w:val="00DA19D7"/>
    <w:rsid w:val="00DA1B8E"/>
    <w:rsid w:val="00DA1FFC"/>
    <w:rsid w:val="00DA31AB"/>
    <w:rsid w:val="00DA371A"/>
    <w:rsid w:val="00DA3AA3"/>
    <w:rsid w:val="00DA3AE5"/>
    <w:rsid w:val="00DA4CA6"/>
    <w:rsid w:val="00DA58B5"/>
    <w:rsid w:val="00DA673C"/>
    <w:rsid w:val="00DA67E4"/>
    <w:rsid w:val="00DA694B"/>
    <w:rsid w:val="00DA72EA"/>
    <w:rsid w:val="00DA7A7D"/>
    <w:rsid w:val="00DB0E95"/>
    <w:rsid w:val="00DB12AD"/>
    <w:rsid w:val="00DB200E"/>
    <w:rsid w:val="00DB29CD"/>
    <w:rsid w:val="00DB301A"/>
    <w:rsid w:val="00DB3DBC"/>
    <w:rsid w:val="00DB4A3B"/>
    <w:rsid w:val="00DB5946"/>
    <w:rsid w:val="00DB61B6"/>
    <w:rsid w:val="00DB6484"/>
    <w:rsid w:val="00DB6518"/>
    <w:rsid w:val="00DB654E"/>
    <w:rsid w:val="00DB6F6A"/>
    <w:rsid w:val="00DC0C4F"/>
    <w:rsid w:val="00DC1213"/>
    <w:rsid w:val="00DC482B"/>
    <w:rsid w:val="00DC4929"/>
    <w:rsid w:val="00DC4A8E"/>
    <w:rsid w:val="00DC51AF"/>
    <w:rsid w:val="00DC5A44"/>
    <w:rsid w:val="00DC6974"/>
    <w:rsid w:val="00DC6C10"/>
    <w:rsid w:val="00DC6E1E"/>
    <w:rsid w:val="00DC70F6"/>
    <w:rsid w:val="00DC7154"/>
    <w:rsid w:val="00DC724A"/>
    <w:rsid w:val="00DC7BB2"/>
    <w:rsid w:val="00DD2068"/>
    <w:rsid w:val="00DD3916"/>
    <w:rsid w:val="00DD4982"/>
    <w:rsid w:val="00DD49E6"/>
    <w:rsid w:val="00DD4C1B"/>
    <w:rsid w:val="00DD4DEA"/>
    <w:rsid w:val="00DD5AB9"/>
    <w:rsid w:val="00DD5F49"/>
    <w:rsid w:val="00DE036F"/>
    <w:rsid w:val="00DE05C6"/>
    <w:rsid w:val="00DE1177"/>
    <w:rsid w:val="00DE3D2E"/>
    <w:rsid w:val="00DE3D3D"/>
    <w:rsid w:val="00DE5733"/>
    <w:rsid w:val="00DE6744"/>
    <w:rsid w:val="00DE7B01"/>
    <w:rsid w:val="00DF01B8"/>
    <w:rsid w:val="00DF03AD"/>
    <w:rsid w:val="00DF0B09"/>
    <w:rsid w:val="00DF0F92"/>
    <w:rsid w:val="00DF3F63"/>
    <w:rsid w:val="00DF402D"/>
    <w:rsid w:val="00DF4482"/>
    <w:rsid w:val="00DF5762"/>
    <w:rsid w:val="00DF5DA0"/>
    <w:rsid w:val="00DF5EEA"/>
    <w:rsid w:val="00DF667D"/>
    <w:rsid w:val="00E015A4"/>
    <w:rsid w:val="00E0244F"/>
    <w:rsid w:val="00E02BF1"/>
    <w:rsid w:val="00E03BAC"/>
    <w:rsid w:val="00E046F1"/>
    <w:rsid w:val="00E055D4"/>
    <w:rsid w:val="00E05651"/>
    <w:rsid w:val="00E068AA"/>
    <w:rsid w:val="00E075EB"/>
    <w:rsid w:val="00E07986"/>
    <w:rsid w:val="00E0798A"/>
    <w:rsid w:val="00E106CC"/>
    <w:rsid w:val="00E10C4F"/>
    <w:rsid w:val="00E10EAE"/>
    <w:rsid w:val="00E10F06"/>
    <w:rsid w:val="00E111D3"/>
    <w:rsid w:val="00E133CF"/>
    <w:rsid w:val="00E13442"/>
    <w:rsid w:val="00E1429E"/>
    <w:rsid w:val="00E143E4"/>
    <w:rsid w:val="00E1455F"/>
    <w:rsid w:val="00E15620"/>
    <w:rsid w:val="00E168BB"/>
    <w:rsid w:val="00E175D2"/>
    <w:rsid w:val="00E17661"/>
    <w:rsid w:val="00E20CC1"/>
    <w:rsid w:val="00E2233B"/>
    <w:rsid w:val="00E258FC"/>
    <w:rsid w:val="00E266CB"/>
    <w:rsid w:val="00E2670B"/>
    <w:rsid w:val="00E30348"/>
    <w:rsid w:val="00E30C22"/>
    <w:rsid w:val="00E30F29"/>
    <w:rsid w:val="00E31285"/>
    <w:rsid w:val="00E31B63"/>
    <w:rsid w:val="00E33321"/>
    <w:rsid w:val="00E33435"/>
    <w:rsid w:val="00E339EA"/>
    <w:rsid w:val="00E34CBF"/>
    <w:rsid w:val="00E3588F"/>
    <w:rsid w:val="00E36935"/>
    <w:rsid w:val="00E376E8"/>
    <w:rsid w:val="00E377F9"/>
    <w:rsid w:val="00E40D0A"/>
    <w:rsid w:val="00E41210"/>
    <w:rsid w:val="00E41E7F"/>
    <w:rsid w:val="00E44E33"/>
    <w:rsid w:val="00E45961"/>
    <w:rsid w:val="00E46CC8"/>
    <w:rsid w:val="00E51F76"/>
    <w:rsid w:val="00E527FD"/>
    <w:rsid w:val="00E52879"/>
    <w:rsid w:val="00E52CCA"/>
    <w:rsid w:val="00E52E8E"/>
    <w:rsid w:val="00E53BA9"/>
    <w:rsid w:val="00E54B53"/>
    <w:rsid w:val="00E55791"/>
    <w:rsid w:val="00E56340"/>
    <w:rsid w:val="00E57106"/>
    <w:rsid w:val="00E613A3"/>
    <w:rsid w:val="00E6170E"/>
    <w:rsid w:val="00E620E6"/>
    <w:rsid w:val="00E62482"/>
    <w:rsid w:val="00E6249C"/>
    <w:rsid w:val="00E629DF"/>
    <w:rsid w:val="00E62AB7"/>
    <w:rsid w:val="00E63351"/>
    <w:rsid w:val="00E6435A"/>
    <w:rsid w:val="00E64B2A"/>
    <w:rsid w:val="00E66BD4"/>
    <w:rsid w:val="00E67009"/>
    <w:rsid w:val="00E67C6F"/>
    <w:rsid w:val="00E704FD"/>
    <w:rsid w:val="00E707F1"/>
    <w:rsid w:val="00E70EEE"/>
    <w:rsid w:val="00E71F91"/>
    <w:rsid w:val="00E71FAA"/>
    <w:rsid w:val="00E74935"/>
    <w:rsid w:val="00E75D6F"/>
    <w:rsid w:val="00E7625C"/>
    <w:rsid w:val="00E76900"/>
    <w:rsid w:val="00E76AAD"/>
    <w:rsid w:val="00E775C6"/>
    <w:rsid w:val="00E80814"/>
    <w:rsid w:val="00E81361"/>
    <w:rsid w:val="00E81571"/>
    <w:rsid w:val="00E8390B"/>
    <w:rsid w:val="00E84630"/>
    <w:rsid w:val="00E8528B"/>
    <w:rsid w:val="00E85E95"/>
    <w:rsid w:val="00E8609B"/>
    <w:rsid w:val="00E86A60"/>
    <w:rsid w:val="00E87F33"/>
    <w:rsid w:val="00E903C9"/>
    <w:rsid w:val="00E91635"/>
    <w:rsid w:val="00E9267F"/>
    <w:rsid w:val="00E92AB5"/>
    <w:rsid w:val="00E92BF0"/>
    <w:rsid w:val="00E93290"/>
    <w:rsid w:val="00E93490"/>
    <w:rsid w:val="00E93A31"/>
    <w:rsid w:val="00E93A4C"/>
    <w:rsid w:val="00E94718"/>
    <w:rsid w:val="00E94EC6"/>
    <w:rsid w:val="00E952B6"/>
    <w:rsid w:val="00E958BB"/>
    <w:rsid w:val="00E95B07"/>
    <w:rsid w:val="00E95FFE"/>
    <w:rsid w:val="00E96657"/>
    <w:rsid w:val="00E96A1A"/>
    <w:rsid w:val="00E97167"/>
    <w:rsid w:val="00EA0820"/>
    <w:rsid w:val="00EA10CE"/>
    <w:rsid w:val="00EA1229"/>
    <w:rsid w:val="00EA1F5D"/>
    <w:rsid w:val="00EA21A7"/>
    <w:rsid w:val="00EA2ECB"/>
    <w:rsid w:val="00EA3002"/>
    <w:rsid w:val="00EA338C"/>
    <w:rsid w:val="00EA3460"/>
    <w:rsid w:val="00EA3852"/>
    <w:rsid w:val="00EA6044"/>
    <w:rsid w:val="00EA6162"/>
    <w:rsid w:val="00EA7361"/>
    <w:rsid w:val="00EA7EC9"/>
    <w:rsid w:val="00EB0288"/>
    <w:rsid w:val="00EB07D1"/>
    <w:rsid w:val="00EB0E9A"/>
    <w:rsid w:val="00EB1B6B"/>
    <w:rsid w:val="00EB304C"/>
    <w:rsid w:val="00EB4E2D"/>
    <w:rsid w:val="00EB4F96"/>
    <w:rsid w:val="00EB5320"/>
    <w:rsid w:val="00EB6045"/>
    <w:rsid w:val="00EB60F9"/>
    <w:rsid w:val="00EB6175"/>
    <w:rsid w:val="00EB68EA"/>
    <w:rsid w:val="00EB6A7B"/>
    <w:rsid w:val="00EB70EA"/>
    <w:rsid w:val="00EC0192"/>
    <w:rsid w:val="00EC0DE2"/>
    <w:rsid w:val="00EC45A8"/>
    <w:rsid w:val="00EC4E82"/>
    <w:rsid w:val="00EC4F0A"/>
    <w:rsid w:val="00EC4F91"/>
    <w:rsid w:val="00EC530A"/>
    <w:rsid w:val="00EC76E9"/>
    <w:rsid w:val="00ED0163"/>
    <w:rsid w:val="00ED03F1"/>
    <w:rsid w:val="00ED0680"/>
    <w:rsid w:val="00ED0C31"/>
    <w:rsid w:val="00ED0DCA"/>
    <w:rsid w:val="00ED2187"/>
    <w:rsid w:val="00ED2674"/>
    <w:rsid w:val="00ED26DD"/>
    <w:rsid w:val="00ED47A7"/>
    <w:rsid w:val="00ED49A3"/>
    <w:rsid w:val="00ED4F29"/>
    <w:rsid w:val="00ED5282"/>
    <w:rsid w:val="00ED665D"/>
    <w:rsid w:val="00ED7121"/>
    <w:rsid w:val="00EE1CEA"/>
    <w:rsid w:val="00EE1EE7"/>
    <w:rsid w:val="00EF069C"/>
    <w:rsid w:val="00EF0EB9"/>
    <w:rsid w:val="00EF11EE"/>
    <w:rsid w:val="00EF16BA"/>
    <w:rsid w:val="00EF1CC2"/>
    <w:rsid w:val="00EF3666"/>
    <w:rsid w:val="00EF4737"/>
    <w:rsid w:val="00EF4A35"/>
    <w:rsid w:val="00EF5B83"/>
    <w:rsid w:val="00EF5EA5"/>
    <w:rsid w:val="00EF6349"/>
    <w:rsid w:val="00EF7509"/>
    <w:rsid w:val="00EF7592"/>
    <w:rsid w:val="00F019E9"/>
    <w:rsid w:val="00F01D0B"/>
    <w:rsid w:val="00F0360C"/>
    <w:rsid w:val="00F037D5"/>
    <w:rsid w:val="00F05DFC"/>
    <w:rsid w:val="00F072E8"/>
    <w:rsid w:val="00F07E82"/>
    <w:rsid w:val="00F104B1"/>
    <w:rsid w:val="00F11C96"/>
    <w:rsid w:val="00F131A3"/>
    <w:rsid w:val="00F143A1"/>
    <w:rsid w:val="00F1480F"/>
    <w:rsid w:val="00F14955"/>
    <w:rsid w:val="00F15B4F"/>
    <w:rsid w:val="00F15C6E"/>
    <w:rsid w:val="00F16777"/>
    <w:rsid w:val="00F179F3"/>
    <w:rsid w:val="00F205EC"/>
    <w:rsid w:val="00F2072B"/>
    <w:rsid w:val="00F20B7A"/>
    <w:rsid w:val="00F20C58"/>
    <w:rsid w:val="00F20CCC"/>
    <w:rsid w:val="00F220B3"/>
    <w:rsid w:val="00F223A2"/>
    <w:rsid w:val="00F24B10"/>
    <w:rsid w:val="00F260DD"/>
    <w:rsid w:val="00F30870"/>
    <w:rsid w:val="00F330B5"/>
    <w:rsid w:val="00F34277"/>
    <w:rsid w:val="00F343C3"/>
    <w:rsid w:val="00F34FC6"/>
    <w:rsid w:val="00F35502"/>
    <w:rsid w:val="00F36EEB"/>
    <w:rsid w:val="00F372BF"/>
    <w:rsid w:val="00F37D39"/>
    <w:rsid w:val="00F40DFC"/>
    <w:rsid w:val="00F41A9A"/>
    <w:rsid w:val="00F42E78"/>
    <w:rsid w:val="00F43530"/>
    <w:rsid w:val="00F4372E"/>
    <w:rsid w:val="00F448A6"/>
    <w:rsid w:val="00F44C8E"/>
    <w:rsid w:val="00F4511B"/>
    <w:rsid w:val="00F453FE"/>
    <w:rsid w:val="00F458BC"/>
    <w:rsid w:val="00F463C5"/>
    <w:rsid w:val="00F46D22"/>
    <w:rsid w:val="00F47E58"/>
    <w:rsid w:val="00F506F9"/>
    <w:rsid w:val="00F50A28"/>
    <w:rsid w:val="00F513EF"/>
    <w:rsid w:val="00F514EB"/>
    <w:rsid w:val="00F52402"/>
    <w:rsid w:val="00F52441"/>
    <w:rsid w:val="00F5276B"/>
    <w:rsid w:val="00F52F6A"/>
    <w:rsid w:val="00F54241"/>
    <w:rsid w:val="00F54E9F"/>
    <w:rsid w:val="00F55280"/>
    <w:rsid w:val="00F55623"/>
    <w:rsid w:val="00F5584A"/>
    <w:rsid w:val="00F55AB3"/>
    <w:rsid w:val="00F560DE"/>
    <w:rsid w:val="00F5690E"/>
    <w:rsid w:val="00F56BA6"/>
    <w:rsid w:val="00F60F8B"/>
    <w:rsid w:val="00F615F0"/>
    <w:rsid w:val="00F617EF"/>
    <w:rsid w:val="00F6236B"/>
    <w:rsid w:val="00F647FB"/>
    <w:rsid w:val="00F64D4F"/>
    <w:rsid w:val="00F67EB8"/>
    <w:rsid w:val="00F7011F"/>
    <w:rsid w:val="00F71196"/>
    <w:rsid w:val="00F71825"/>
    <w:rsid w:val="00F71D63"/>
    <w:rsid w:val="00F72A2F"/>
    <w:rsid w:val="00F732BD"/>
    <w:rsid w:val="00F733BE"/>
    <w:rsid w:val="00F733D8"/>
    <w:rsid w:val="00F73F5B"/>
    <w:rsid w:val="00F7528D"/>
    <w:rsid w:val="00F753ED"/>
    <w:rsid w:val="00F76770"/>
    <w:rsid w:val="00F76979"/>
    <w:rsid w:val="00F76A3F"/>
    <w:rsid w:val="00F80169"/>
    <w:rsid w:val="00F80F74"/>
    <w:rsid w:val="00F81514"/>
    <w:rsid w:val="00F81767"/>
    <w:rsid w:val="00F82200"/>
    <w:rsid w:val="00F82A7A"/>
    <w:rsid w:val="00F83227"/>
    <w:rsid w:val="00F83D40"/>
    <w:rsid w:val="00F84722"/>
    <w:rsid w:val="00F85717"/>
    <w:rsid w:val="00F86233"/>
    <w:rsid w:val="00F86352"/>
    <w:rsid w:val="00F86D47"/>
    <w:rsid w:val="00F86EE8"/>
    <w:rsid w:val="00F87040"/>
    <w:rsid w:val="00F87CE4"/>
    <w:rsid w:val="00F913EB"/>
    <w:rsid w:val="00F915F0"/>
    <w:rsid w:val="00F91A78"/>
    <w:rsid w:val="00F92143"/>
    <w:rsid w:val="00F92B32"/>
    <w:rsid w:val="00F93C9C"/>
    <w:rsid w:val="00F94146"/>
    <w:rsid w:val="00F945D9"/>
    <w:rsid w:val="00F95098"/>
    <w:rsid w:val="00F95A32"/>
    <w:rsid w:val="00F95F10"/>
    <w:rsid w:val="00F96D3F"/>
    <w:rsid w:val="00F97294"/>
    <w:rsid w:val="00FA04A9"/>
    <w:rsid w:val="00FA20E5"/>
    <w:rsid w:val="00FA2E97"/>
    <w:rsid w:val="00FA3DF0"/>
    <w:rsid w:val="00FA3FD9"/>
    <w:rsid w:val="00FA450B"/>
    <w:rsid w:val="00FA506C"/>
    <w:rsid w:val="00FA5462"/>
    <w:rsid w:val="00FA60A9"/>
    <w:rsid w:val="00FA6451"/>
    <w:rsid w:val="00FA6AF6"/>
    <w:rsid w:val="00FA6FD6"/>
    <w:rsid w:val="00FA75BF"/>
    <w:rsid w:val="00FA779C"/>
    <w:rsid w:val="00FA7D65"/>
    <w:rsid w:val="00FB0350"/>
    <w:rsid w:val="00FB0A5A"/>
    <w:rsid w:val="00FB0D9C"/>
    <w:rsid w:val="00FB23A3"/>
    <w:rsid w:val="00FB2441"/>
    <w:rsid w:val="00FB49DC"/>
    <w:rsid w:val="00FB5054"/>
    <w:rsid w:val="00FB593A"/>
    <w:rsid w:val="00FB6A46"/>
    <w:rsid w:val="00FC0337"/>
    <w:rsid w:val="00FC0CEA"/>
    <w:rsid w:val="00FC1700"/>
    <w:rsid w:val="00FC1CF2"/>
    <w:rsid w:val="00FC20D8"/>
    <w:rsid w:val="00FC26E7"/>
    <w:rsid w:val="00FC35CA"/>
    <w:rsid w:val="00FC5859"/>
    <w:rsid w:val="00FC72FB"/>
    <w:rsid w:val="00FD2C3B"/>
    <w:rsid w:val="00FD3B2C"/>
    <w:rsid w:val="00FD3D4B"/>
    <w:rsid w:val="00FD5349"/>
    <w:rsid w:val="00FD6E32"/>
    <w:rsid w:val="00FD7A07"/>
    <w:rsid w:val="00FD7A77"/>
    <w:rsid w:val="00FE0900"/>
    <w:rsid w:val="00FE19C9"/>
    <w:rsid w:val="00FE1B37"/>
    <w:rsid w:val="00FE1B65"/>
    <w:rsid w:val="00FE295C"/>
    <w:rsid w:val="00FE3B4C"/>
    <w:rsid w:val="00FE3FC5"/>
    <w:rsid w:val="00FE4D74"/>
    <w:rsid w:val="00FE6070"/>
    <w:rsid w:val="00FE69B5"/>
    <w:rsid w:val="00FE6F09"/>
    <w:rsid w:val="00FE7A6E"/>
    <w:rsid w:val="00FF01E4"/>
    <w:rsid w:val="00FF03D5"/>
    <w:rsid w:val="00FF0DCD"/>
    <w:rsid w:val="00FF24BF"/>
    <w:rsid w:val="00FF412D"/>
    <w:rsid w:val="00FF6533"/>
    <w:rsid w:val="00FF7031"/>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1FE70F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4055E"/>
    <w:rsid w:val="02746F16"/>
    <w:rsid w:val="027B6543"/>
    <w:rsid w:val="027C2452"/>
    <w:rsid w:val="02831E4C"/>
    <w:rsid w:val="0294765E"/>
    <w:rsid w:val="02A23A7B"/>
    <w:rsid w:val="02AE5F40"/>
    <w:rsid w:val="02BE42E8"/>
    <w:rsid w:val="02BF429A"/>
    <w:rsid w:val="02CB4A49"/>
    <w:rsid w:val="02CF1561"/>
    <w:rsid w:val="02DC2417"/>
    <w:rsid w:val="02EA438E"/>
    <w:rsid w:val="02EB1055"/>
    <w:rsid w:val="02F00126"/>
    <w:rsid w:val="02F578EA"/>
    <w:rsid w:val="030012C2"/>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9D07A1"/>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30097"/>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5E1EA0"/>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9E43C2F"/>
    <w:rsid w:val="0A002102"/>
    <w:rsid w:val="0A096139"/>
    <w:rsid w:val="0A0D0A5C"/>
    <w:rsid w:val="0A1332A7"/>
    <w:rsid w:val="0A1434BD"/>
    <w:rsid w:val="0A177598"/>
    <w:rsid w:val="0A2A0A4E"/>
    <w:rsid w:val="0A2A668D"/>
    <w:rsid w:val="0A2F0B03"/>
    <w:rsid w:val="0A2F5714"/>
    <w:rsid w:val="0A33259C"/>
    <w:rsid w:val="0A3F483E"/>
    <w:rsid w:val="0A670FF2"/>
    <w:rsid w:val="0A753E83"/>
    <w:rsid w:val="0A793F3B"/>
    <w:rsid w:val="0A7A6ADA"/>
    <w:rsid w:val="0A7B3033"/>
    <w:rsid w:val="0A895DFE"/>
    <w:rsid w:val="0A8E1D22"/>
    <w:rsid w:val="0A902401"/>
    <w:rsid w:val="0AA04A08"/>
    <w:rsid w:val="0AA411F3"/>
    <w:rsid w:val="0AA55524"/>
    <w:rsid w:val="0AB15A98"/>
    <w:rsid w:val="0AB93520"/>
    <w:rsid w:val="0AC857E6"/>
    <w:rsid w:val="0AF011AC"/>
    <w:rsid w:val="0AF323F9"/>
    <w:rsid w:val="0AF83003"/>
    <w:rsid w:val="0AFE6CA0"/>
    <w:rsid w:val="0B076A7F"/>
    <w:rsid w:val="0B090DAA"/>
    <w:rsid w:val="0B133891"/>
    <w:rsid w:val="0B17278B"/>
    <w:rsid w:val="0B19257F"/>
    <w:rsid w:val="0B1A0916"/>
    <w:rsid w:val="0B2161DE"/>
    <w:rsid w:val="0B24227A"/>
    <w:rsid w:val="0B2C066D"/>
    <w:rsid w:val="0B2E5523"/>
    <w:rsid w:val="0B31583E"/>
    <w:rsid w:val="0B372F62"/>
    <w:rsid w:val="0B4036B9"/>
    <w:rsid w:val="0B527D96"/>
    <w:rsid w:val="0B622C37"/>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9658C"/>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7F3240"/>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BF0AC0"/>
    <w:rsid w:val="0FD96CA9"/>
    <w:rsid w:val="0FDB12EB"/>
    <w:rsid w:val="0FDD68DC"/>
    <w:rsid w:val="0FE550E2"/>
    <w:rsid w:val="0FE80928"/>
    <w:rsid w:val="0FF15BB9"/>
    <w:rsid w:val="0FF906E7"/>
    <w:rsid w:val="0FFD586A"/>
    <w:rsid w:val="10020B62"/>
    <w:rsid w:val="10087FF8"/>
    <w:rsid w:val="10135C77"/>
    <w:rsid w:val="101B1CAB"/>
    <w:rsid w:val="101C596C"/>
    <w:rsid w:val="101F3251"/>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E446A"/>
    <w:rsid w:val="150F69C2"/>
    <w:rsid w:val="151F2A27"/>
    <w:rsid w:val="151F6B5A"/>
    <w:rsid w:val="15212130"/>
    <w:rsid w:val="15221E3A"/>
    <w:rsid w:val="1522753C"/>
    <w:rsid w:val="15262561"/>
    <w:rsid w:val="15297246"/>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27475"/>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6FB418C"/>
    <w:rsid w:val="17007F27"/>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45DA6"/>
    <w:rsid w:val="184E511A"/>
    <w:rsid w:val="186202E0"/>
    <w:rsid w:val="18655B8E"/>
    <w:rsid w:val="186D58C3"/>
    <w:rsid w:val="186E43F1"/>
    <w:rsid w:val="18751594"/>
    <w:rsid w:val="18757CA7"/>
    <w:rsid w:val="187976BF"/>
    <w:rsid w:val="18875C71"/>
    <w:rsid w:val="18953D76"/>
    <w:rsid w:val="18A56D68"/>
    <w:rsid w:val="18A64141"/>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179AB"/>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55F23"/>
    <w:rsid w:val="1B2F477F"/>
    <w:rsid w:val="1B3061E2"/>
    <w:rsid w:val="1B353038"/>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2D5AF7"/>
    <w:rsid w:val="1D361E6E"/>
    <w:rsid w:val="1D3A5EF9"/>
    <w:rsid w:val="1D3E3BE8"/>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B3FDA"/>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4453FD"/>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52BA9"/>
    <w:rsid w:val="268B161B"/>
    <w:rsid w:val="268C256C"/>
    <w:rsid w:val="268F35A6"/>
    <w:rsid w:val="26991CDA"/>
    <w:rsid w:val="269F48BD"/>
    <w:rsid w:val="26A7223A"/>
    <w:rsid w:val="26D14EF1"/>
    <w:rsid w:val="26DD7344"/>
    <w:rsid w:val="26E01351"/>
    <w:rsid w:val="26E52C80"/>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6F5B4E"/>
    <w:rsid w:val="27743788"/>
    <w:rsid w:val="277605B6"/>
    <w:rsid w:val="27796C51"/>
    <w:rsid w:val="277B261F"/>
    <w:rsid w:val="27855707"/>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B62BAC"/>
    <w:rsid w:val="28C32DF1"/>
    <w:rsid w:val="28C534E8"/>
    <w:rsid w:val="28D02103"/>
    <w:rsid w:val="28EB3097"/>
    <w:rsid w:val="29095837"/>
    <w:rsid w:val="29200EC3"/>
    <w:rsid w:val="292E78E3"/>
    <w:rsid w:val="293734A8"/>
    <w:rsid w:val="293B5D03"/>
    <w:rsid w:val="294E0AA4"/>
    <w:rsid w:val="296735A6"/>
    <w:rsid w:val="296D7E15"/>
    <w:rsid w:val="297F3B23"/>
    <w:rsid w:val="29832EE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2171D"/>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2659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C27CA"/>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45480"/>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3F27"/>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3D332E"/>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2091A"/>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6B63E7"/>
    <w:rsid w:val="377336AC"/>
    <w:rsid w:val="377F502A"/>
    <w:rsid w:val="37804449"/>
    <w:rsid w:val="378A028C"/>
    <w:rsid w:val="37A15096"/>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570B5"/>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2568CE"/>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DE2E31"/>
    <w:rsid w:val="3EE50C9F"/>
    <w:rsid w:val="3EEE4BA8"/>
    <w:rsid w:val="3EF223A8"/>
    <w:rsid w:val="3EF55A72"/>
    <w:rsid w:val="3EF70E47"/>
    <w:rsid w:val="3F133570"/>
    <w:rsid w:val="3F174095"/>
    <w:rsid w:val="3F1E600A"/>
    <w:rsid w:val="3F227ECC"/>
    <w:rsid w:val="3F2A1510"/>
    <w:rsid w:val="3F323523"/>
    <w:rsid w:val="3F3406B9"/>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7B60BB"/>
    <w:rsid w:val="41815EC7"/>
    <w:rsid w:val="41831BB8"/>
    <w:rsid w:val="41AC554D"/>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5F635F"/>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2E34BD"/>
    <w:rsid w:val="43462BCA"/>
    <w:rsid w:val="434E46D6"/>
    <w:rsid w:val="4357457D"/>
    <w:rsid w:val="43587C29"/>
    <w:rsid w:val="43592210"/>
    <w:rsid w:val="435C6176"/>
    <w:rsid w:val="43616901"/>
    <w:rsid w:val="43667A8A"/>
    <w:rsid w:val="436842A9"/>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A272A"/>
    <w:rsid w:val="447D2D74"/>
    <w:rsid w:val="44843CC9"/>
    <w:rsid w:val="44880967"/>
    <w:rsid w:val="44964FAD"/>
    <w:rsid w:val="44983978"/>
    <w:rsid w:val="44AC0FC9"/>
    <w:rsid w:val="44B673AA"/>
    <w:rsid w:val="44BC28D1"/>
    <w:rsid w:val="44BE5B35"/>
    <w:rsid w:val="44C07F9F"/>
    <w:rsid w:val="44D26E80"/>
    <w:rsid w:val="44DA5705"/>
    <w:rsid w:val="44DB773A"/>
    <w:rsid w:val="44E23B78"/>
    <w:rsid w:val="44F14784"/>
    <w:rsid w:val="44F55F2E"/>
    <w:rsid w:val="450039C1"/>
    <w:rsid w:val="450F71D2"/>
    <w:rsid w:val="45176158"/>
    <w:rsid w:val="451A32B1"/>
    <w:rsid w:val="451E341B"/>
    <w:rsid w:val="452074A3"/>
    <w:rsid w:val="452D6C34"/>
    <w:rsid w:val="453E1F38"/>
    <w:rsid w:val="454724B5"/>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041B8"/>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DE42A4"/>
    <w:rsid w:val="46E76BFD"/>
    <w:rsid w:val="46F97533"/>
    <w:rsid w:val="47032B85"/>
    <w:rsid w:val="470F0768"/>
    <w:rsid w:val="47111705"/>
    <w:rsid w:val="4719625B"/>
    <w:rsid w:val="471E706D"/>
    <w:rsid w:val="472A4D62"/>
    <w:rsid w:val="472C0755"/>
    <w:rsid w:val="473F412B"/>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E95B7A"/>
    <w:rsid w:val="48F00546"/>
    <w:rsid w:val="4906501C"/>
    <w:rsid w:val="4906610F"/>
    <w:rsid w:val="49132398"/>
    <w:rsid w:val="491A5C09"/>
    <w:rsid w:val="491B5B23"/>
    <w:rsid w:val="491D675F"/>
    <w:rsid w:val="493252B0"/>
    <w:rsid w:val="49391300"/>
    <w:rsid w:val="493B491E"/>
    <w:rsid w:val="494122C1"/>
    <w:rsid w:val="494305AE"/>
    <w:rsid w:val="49550F29"/>
    <w:rsid w:val="4957708A"/>
    <w:rsid w:val="495F4685"/>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54756"/>
    <w:rsid w:val="4AD74EF4"/>
    <w:rsid w:val="4AE91033"/>
    <w:rsid w:val="4AED5C11"/>
    <w:rsid w:val="4AEE7ABD"/>
    <w:rsid w:val="4AFF253A"/>
    <w:rsid w:val="4B0362DF"/>
    <w:rsid w:val="4B096721"/>
    <w:rsid w:val="4B151DD8"/>
    <w:rsid w:val="4B164395"/>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5D2A1D"/>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60917"/>
    <w:rsid w:val="4EF74679"/>
    <w:rsid w:val="4F053AD4"/>
    <w:rsid w:val="4F054B73"/>
    <w:rsid w:val="4F0E4EC4"/>
    <w:rsid w:val="4F1425EC"/>
    <w:rsid w:val="4F310896"/>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0034F"/>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DA0052"/>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33B32"/>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42913"/>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B0686"/>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01B3"/>
    <w:rsid w:val="5659691E"/>
    <w:rsid w:val="56635FA9"/>
    <w:rsid w:val="56737273"/>
    <w:rsid w:val="56773C48"/>
    <w:rsid w:val="567B15C6"/>
    <w:rsid w:val="56BB5794"/>
    <w:rsid w:val="56C16A07"/>
    <w:rsid w:val="56C56026"/>
    <w:rsid w:val="56C721C1"/>
    <w:rsid w:val="56C75E65"/>
    <w:rsid w:val="56D27224"/>
    <w:rsid w:val="56E37003"/>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656BD"/>
    <w:rsid w:val="58F901C4"/>
    <w:rsid w:val="58FB67BC"/>
    <w:rsid w:val="59085DA7"/>
    <w:rsid w:val="590C30E2"/>
    <w:rsid w:val="591539B6"/>
    <w:rsid w:val="591F6BE2"/>
    <w:rsid w:val="592452D1"/>
    <w:rsid w:val="5930657D"/>
    <w:rsid w:val="59327DEB"/>
    <w:rsid w:val="59392E42"/>
    <w:rsid w:val="593B5B55"/>
    <w:rsid w:val="593D19BE"/>
    <w:rsid w:val="59441031"/>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77331"/>
    <w:rsid w:val="5A0C7744"/>
    <w:rsid w:val="5A265DD2"/>
    <w:rsid w:val="5A2F002F"/>
    <w:rsid w:val="5A366123"/>
    <w:rsid w:val="5A3F6176"/>
    <w:rsid w:val="5A4E32FB"/>
    <w:rsid w:val="5A5419CE"/>
    <w:rsid w:val="5A563E1A"/>
    <w:rsid w:val="5A587AE0"/>
    <w:rsid w:val="5A5A38F1"/>
    <w:rsid w:val="5A617BFA"/>
    <w:rsid w:val="5A6D74B7"/>
    <w:rsid w:val="5A737E20"/>
    <w:rsid w:val="5A7629B7"/>
    <w:rsid w:val="5A7B6D95"/>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44C5F"/>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D4786"/>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B31DDD"/>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6615E"/>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10296"/>
    <w:rsid w:val="640673D9"/>
    <w:rsid w:val="641E6EE2"/>
    <w:rsid w:val="64275148"/>
    <w:rsid w:val="64280734"/>
    <w:rsid w:val="64326B19"/>
    <w:rsid w:val="643D2685"/>
    <w:rsid w:val="64446B79"/>
    <w:rsid w:val="644E527B"/>
    <w:rsid w:val="645214CF"/>
    <w:rsid w:val="64561086"/>
    <w:rsid w:val="647761E0"/>
    <w:rsid w:val="6487530B"/>
    <w:rsid w:val="64981383"/>
    <w:rsid w:val="649A7D9E"/>
    <w:rsid w:val="649C04A4"/>
    <w:rsid w:val="64AD71B7"/>
    <w:rsid w:val="64B91473"/>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44FD8"/>
    <w:rsid w:val="66471F83"/>
    <w:rsid w:val="665A01D2"/>
    <w:rsid w:val="6662199C"/>
    <w:rsid w:val="66644C16"/>
    <w:rsid w:val="666E72E2"/>
    <w:rsid w:val="6671203D"/>
    <w:rsid w:val="6675672A"/>
    <w:rsid w:val="6680115D"/>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3452CA"/>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5466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A521F"/>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3F0049"/>
    <w:rsid w:val="6B437E9F"/>
    <w:rsid w:val="6B4943C4"/>
    <w:rsid w:val="6B5760AD"/>
    <w:rsid w:val="6B5911F8"/>
    <w:rsid w:val="6B5C6E5B"/>
    <w:rsid w:val="6B6356A7"/>
    <w:rsid w:val="6B6712DB"/>
    <w:rsid w:val="6B6951A7"/>
    <w:rsid w:val="6B6F75D9"/>
    <w:rsid w:val="6B7753BB"/>
    <w:rsid w:val="6B7A6C48"/>
    <w:rsid w:val="6B8223B8"/>
    <w:rsid w:val="6BA303EE"/>
    <w:rsid w:val="6BA33ACD"/>
    <w:rsid w:val="6BA42B26"/>
    <w:rsid w:val="6BC7496D"/>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02481"/>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5020A"/>
    <w:rsid w:val="72B64F42"/>
    <w:rsid w:val="72BE4047"/>
    <w:rsid w:val="72C80096"/>
    <w:rsid w:val="72CD0489"/>
    <w:rsid w:val="72CF7455"/>
    <w:rsid w:val="72D37E89"/>
    <w:rsid w:val="72D624C7"/>
    <w:rsid w:val="72D9097A"/>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1587"/>
    <w:rsid w:val="738A6877"/>
    <w:rsid w:val="739C4779"/>
    <w:rsid w:val="73A2442B"/>
    <w:rsid w:val="73A34807"/>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AE207A"/>
    <w:rsid w:val="75B34009"/>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45936"/>
    <w:rsid w:val="78151AE7"/>
    <w:rsid w:val="781D0ABF"/>
    <w:rsid w:val="782B5948"/>
    <w:rsid w:val="783A4CF1"/>
    <w:rsid w:val="784A5868"/>
    <w:rsid w:val="784C3D32"/>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45466"/>
    <w:rsid w:val="79367FB8"/>
    <w:rsid w:val="79392A29"/>
    <w:rsid w:val="794A2140"/>
    <w:rsid w:val="79583AEC"/>
    <w:rsid w:val="795C7162"/>
    <w:rsid w:val="79740A63"/>
    <w:rsid w:val="797812D7"/>
    <w:rsid w:val="799D7539"/>
    <w:rsid w:val="799F72C4"/>
    <w:rsid w:val="79A20557"/>
    <w:rsid w:val="79AB7A8E"/>
    <w:rsid w:val="79AC0207"/>
    <w:rsid w:val="79AD091A"/>
    <w:rsid w:val="79B0162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10EF2"/>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26101"/>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5E3780"/>
    <w:rsid w:val="7C624968"/>
    <w:rsid w:val="7C776CF4"/>
    <w:rsid w:val="7C813B39"/>
    <w:rsid w:val="7C921F5C"/>
    <w:rsid w:val="7C9D2374"/>
    <w:rsid w:val="7CAC42FA"/>
    <w:rsid w:val="7CB3226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94A54"/>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180E"/>
    <w:rsid w:val="7F633EFB"/>
    <w:rsid w:val="7F634386"/>
    <w:rsid w:val="7F6379B6"/>
    <w:rsid w:val="7F6E5620"/>
    <w:rsid w:val="7F7477F0"/>
    <w:rsid w:val="7F805E76"/>
    <w:rsid w:val="7F836656"/>
    <w:rsid w:val="7F8A074A"/>
    <w:rsid w:val="7FA02E1C"/>
    <w:rsid w:val="7FB67C44"/>
    <w:rsid w:val="7FBF3E86"/>
    <w:rsid w:val="7FCA7309"/>
    <w:rsid w:val="7FDC725C"/>
    <w:rsid w:val="7FDF6BD9"/>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21EB6"/>
  <w15:docId w15:val="{6913CA8B-A035-470E-AA4A-77152330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table" w:customStyle="1" w:styleId="TableGrid1">
    <w:name w:val="TableGrid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0Maintext">
    <w:name w:val="0 Main text"/>
    <w:basedOn w:val="a"/>
    <w:qFormat/>
    <w:pPr>
      <w:spacing w:beforeLines="0" w:afterLines="0" w:after="100" w:afterAutospacing="1" w:line="288" w:lineRule="auto"/>
      <w:ind w:firstLine="360"/>
    </w:pPr>
    <w:rPr>
      <w:rFonts w:eastAsia="Times New Roman" w:cs="Batang"/>
      <w:kern w:val="0"/>
      <w:sz w:val="20"/>
      <w:lang w:val="en-GB" w:eastAsia="en-US"/>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oleObject" Target="embeddings/oleObject1.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8669B-374D-4595-B146-D769D7D9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8050</Words>
  <Characters>45889</Characters>
  <Application>Microsoft Office Word</Application>
  <DocSecurity>0</DocSecurity>
  <Lines>382</Lines>
  <Paragraphs>107</Paragraphs>
  <ScaleCrop>false</ScaleCrop>
  <Company/>
  <LinksUpToDate>false</LinksUpToDate>
  <CharactersWithSpaces>53832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156</cp:revision>
  <cp:lastPrinted>2025-03-22T01:23:00Z</cp:lastPrinted>
  <dcterms:created xsi:type="dcterms:W3CDTF">2026-01-29T09:57:00Z</dcterms:created>
  <dcterms:modified xsi:type="dcterms:W3CDTF">2026-01-30T09:37:00Z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A75DE46A3924468A82AD9B5027D2263B</vt:lpwstr>
  </property>
</Properties>
</file>